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2F" w:rsidRPr="00171E2F" w:rsidRDefault="00171E2F" w:rsidP="00171E2F">
      <w:pPr>
        <w:pStyle w:val="NormalWeb"/>
        <w:ind w:firstLine="709"/>
        <w:jc w:val="both"/>
        <w:rPr>
          <w:b/>
          <w:bCs/>
          <w:color w:val="000000"/>
          <w:szCs w:val="27"/>
        </w:rPr>
      </w:pPr>
      <w:r w:rsidRPr="00171E2F">
        <w:rPr>
          <w:b/>
          <w:bCs/>
          <w:color w:val="000000"/>
          <w:szCs w:val="27"/>
        </w:rPr>
        <w:t>"...</w:t>
      </w:r>
    </w:p>
    <w:p w:rsidR="00171E2F" w:rsidRPr="00171E2F" w:rsidRDefault="00171E2F" w:rsidP="00171E2F">
      <w:pPr>
        <w:pStyle w:val="NormalWeb"/>
        <w:ind w:firstLine="709"/>
        <w:jc w:val="both"/>
        <w:rPr>
          <w:color w:val="000000"/>
          <w:szCs w:val="27"/>
        </w:rPr>
      </w:pPr>
      <w:r w:rsidRPr="00171E2F">
        <w:rPr>
          <w:b/>
          <w:bCs/>
          <w:color w:val="000000"/>
          <w:szCs w:val="27"/>
        </w:rPr>
        <w:t>II- İTİRAZIN GEREKÇESİ</w:t>
      </w:r>
      <w:bookmarkStart w:id="0" w:name="_GoBack"/>
      <w:bookmarkEnd w:id="0"/>
    </w:p>
    <w:p w:rsidR="00171E2F" w:rsidRPr="00171E2F" w:rsidRDefault="00171E2F" w:rsidP="00171E2F">
      <w:pPr>
        <w:pStyle w:val="NormalWeb"/>
        <w:ind w:firstLine="709"/>
        <w:jc w:val="both"/>
        <w:rPr>
          <w:color w:val="000000"/>
          <w:szCs w:val="27"/>
        </w:rPr>
      </w:pPr>
      <w:r w:rsidRPr="00171E2F">
        <w:rPr>
          <w:color w:val="000000"/>
          <w:szCs w:val="27"/>
        </w:rPr>
        <w:t>Mahkeme'nin başvuru kararının gerekçe bölümü şöyledir:</w:t>
      </w:r>
    </w:p>
    <w:p w:rsidR="00171E2F" w:rsidRPr="00171E2F" w:rsidRDefault="00171E2F" w:rsidP="00171E2F">
      <w:pPr>
        <w:pStyle w:val="NormalWeb"/>
        <w:ind w:firstLine="709"/>
        <w:jc w:val="both"/>
        <w:rPr>
          <w:color w:val="000000"/>
          <w:szCs w:val="27"/>
        </w:rPr>
      </w:pPr>
      <w:r w:rsidRPr="00171E2F">
        <w:rPr>
          <w:i/>
          <w:iCs/>
          <w:color w:val="000000"/>
          <w:szCs w:val="27"/>
        </w:rPr>
        <w:t>"Anayasa Mahkemesi, Anayasaya uygun bir yetki yasasına dayanmadan çıkartılan ve dayanağı yetki yasası iptal edilen bir Kanun Hükmünde Kararnamenin getirdiği kurallar ve içeriği yönünden Anayasa'ya aykırılık oluşturmasa bile, Anayasa'ya uygunluğundan söz edilemeyeceği görüşündedir.</w:t>
      </w:r>
    </w:p>
    <w:p w:rsidR="00171E2F" w:rsidRPr="00171E2F" w:rsidRDefault="00171E2F" w:rsidP="00171E2F">
      <w:pPr>
        <w:pStyle w:val="NormalWeb"/>
        <w:ind w:firstLine="709"/>
        <w:jc w:val="both"/>
        <w:rPr>
          <w:color w:val="000000"/>
          <w:szCs w:val="27"/>
        </w:rPr>
      </w:pPr>
      <w:r w:rsidRPr="00171E2F">
        <w:rPr>
          <w:i/>
          <w:iCs/>
          <w:color w:val="000000"/>
          <w:szCs w:val="27"/>
        </w:rPr>
        <w:t>Uyuşmazlığa konu olayda uygulanacak olan 527 sayılı Kanun Hükmünde Kararname 3990 sayılı Yetki Yasasına dayanılarak çıkartılmıştır. Kanun Hükmünde Kararnamenin dayanağını oluşturan Yetki Yasası ise Anayasa Mahkemesi'nin 5.7.1994 günlü, E:1994/50, K:1994/44-2 sayılı kararı ile iptal edilmiştir.</w:t>
      </w:r>
    </w:p>
    <w:p w:rsidR="00171E2F" w:rsidRPr="00171E2F" w:rsidRDefault="00171E2F" w:rsidP="00171E2F">
      <w:pPr>
        <w:pStyle w:val="NormalWeb"/>
        <w:ind w:firstLine="709"/>
        <w:jc w:val="both"/>
        <w:rPr>
          <w:color w:val="000000"/>
          <w:szCs w:val="27"/>
        </w:rPr>
      </w:pPr>
      <w:proofErr w:type="gramStart"/>
      <w:r w:rsidRPr="00171E2F">
        <w:rPr>
          <w:i/>
          <w:iCs/>
          <w:color w:val="000000"/>
          <w:szCs w:val="27"/>
        </w:rPr>
        <w:t>Buna göre, Mahkememizce bakılmakta olan davada uygulanacak olan 527 sayılı Kanun Hükmünde Kararnamenin 3. maddesiyle 657 sayılı Yasanın 43. maddesinin (B) fıkrasına eklenen (I) sayılı cetvelin II- Teknik Hizmetler Sınıfı (b) bendinde yer alan "ekonomist" sözcüğünün, dayanağı olan yetki yasasının iptal edilmesiyle Anayasal dayanaktan yoksun kaldığı, bu nedenle Anayasa'nın Başlangıç, 2, 6 ve 91. maddelerine aykırı bulunduğu kanaatine ulaşılmıştır.</w:t>
      </w:r>
      <w:proofErr w:type="gramEnd"/>
    </w:p>
    <w:p w:rsidR="00171E2F" w:rsidRPr="00171E2F" w:rsidRDefault="00171E2F" w:rsidP="00171E2F">
      <w:pPr>
        <w:pStyle w:val="NormalWeb"/>
        <w:ind w:firstLine="709"/>
        <w:jc w:val="both"/>
        <w:rPr>
          <w:color w:val="000000"/>
          <w:szCs w:val="27"/>
        </w:rPr>
      </w:pPr>
      <w:proofErr w:type="gramStart"/>
      <w:r w:rsidRPr="00171E2F">
        <w:rPr>
          <w:i/>
          <w:iCs/>
          <w:color w:val="000000"/>
          <w:szCs w:val="27"/>
        </w:rPr>
        <w:t xml:space="preserve">Açıklanan nedenlerle, Anayasanın 152. maddesinin birinci, 2949 sayılı Yasa'nın 28. maddesinin ikinci fıkraları uyarınca, bir davaya bakmakta olan Mahkemenin, taraflardan birinin ileri sürdüğü aykırılık iddiasının ciddi olduğu kanısına varırsa, tarafların bu konudaki iddia ve savunmalarını ve kendisini bu kanıya götüren görüşünü açıklayan kararı ile Anayasa Mahkemesine </w:t>
      </w:r>
      <w:proofErr w:type="spellStart"/>
      <w:r w:rsidRPr="00171E2F">
        <w:rPr>
          <w:i/>
          <w:iCs/>
          <w:color w:val="000000"/>
          <w:szCs w:val="27"/>
        </w:rPr>
        <w:t>itirazen</w:t>
      </w:r>
      <w:proofErr w:type="spellEnd"/>
      <w:r w:rsidRPr="00171E2F">
        <w:rPr>
          <w:i/>
          <w:iCs/>
          <w:color w:val="000000"/>
          <w:szCs w:val="27"/>
        </w:rPr>
        <w:t xml:space="preserve"> başvurması öngörüldüğünden, 527 sayılı Kanun Hükmünde Kararnamenin 3. maddesiyle 657 sayılı Yasa'nın 43. maddesinin (B) fıkrasına eklenen (I) sayılı Cetvelin, II- Teknik Hizmetler Sınıfı (b) bendinde yer alan "Ekonomist" sözcüğü yönünden iptali için </w:t>
      </w:r>
      <w:proofErr w:type="spellStart"/>
      <w:r w:rsidRPr="00171E2F">
        <w:rPr>
          <w:i/>
          <w:iCs/>
          <w:color w:val="000000"/>
          <w:szCs w:val="27"/>
        </w:rPr>
        <w:t>itirazen</w:t>
      </w:r>
      <w:proofErr w:type="spellEnd"/>
      <w:r w:rsidRPr="00171E2F">
        <w:rPr>
          <w:i/>
          <w:iCs/>
          <w:color w:val="000000"/>
          <w:szCs w:val="27"/>
        </w:rPr>
        <w:t xml:space="preserve"> Anayasa Mahkemesine başvurulmasına, konu ile ilgili belgelerin onaylı örneklerinin, karar ile birlikte Anayasa Mahkemesi Başkanlığı'na gönderilmesine ve Anayasa Mahkemesinin bu konuda vereceği karara kadar davanın geri bırakılmasına, 31.12.2002 tarihinde oybirliğiyle karar verildi."</w:t>
      </w:r>
      <w:r w:rsidRPr="00171E2F">
        <w:rPr>
          <w:i/>
          <w:iCs/>
          <w:color w:val="000000"/>
          <w:szCs w:val="27"/>
        </w:rPr>
        <w:t>"</w:t>
      </w:r>
      <w:proofErr w:type="gramEnd"/>
    </w:p>
    <w:p w:rsidR="00CE1FB9" w:rsidRPr="00171E2F" w:rsidRDefault="00CE1FB9" w:rsidP="00171E2F">
      <w:pPr>
        <w:spacing w:before="100" w:beforeAutospacing="1" w:after="100" w:afterAutospacing="1" w:line="240" w:lineRule="auto"/>
        <w:ind w:firstLine="709"/>
        <w:jc w:val="both"/>
        <w:rPr>
          <w:rFonts w:ascii="Times New Roman" w:hAnsi="Times New Roman" w:cs="Times New Roman"/>
          <w:sz w:val="24"/>
        </w:rPr>
      </w:pPr>
    </w:p>
    <w:sectPr w:rsidR="00CE1FB9" w:rsidRPr="00171E2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3E9" w:rsidRDefault="001E33E9" w:rsidP="00171E2F">
      <w:pPr>
        <w:spacing w:after="0" w:line="240" w:lineRule="auto"/>
      </w:pPr>
      <w:r>
        <w:separator/>
      </w:r>
    </w:p>
  </w:endnote>
  <w:endnote w:type="continuationSeparator" w:id="0">
    <w:p w:rsidR="001E33E9" w:rsidRDefault="001E33E9" w:rsidP="0017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2F" w:rsidRDefault="00171E2F" w:rsidP="008A08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1E2F" w:rsidRDefault="00171E2F" w:rsidP="00171E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2F" w:rsidRPr="00171E2F" w:rsidRDefault="00171E2F" w:rsidP="008A08B1">
    <w:pPr>
      <w:pStyle w:val="Altbilgi"/>
      <w:framePr w:wrap="around" w:vAnchor="text" w:hAnchor="margin" w:xAlign="right" w:y="1"/>
      <w:rPr>
        <w:rStyle w:val="SayfaNumaras"/>
        <w:rFonts w:ascii="Times New Roman" w:hAnsi="Times New Roman" w:cs="Times New Roman"/>
      </w:rPr>
    </w:pPr>
    <w:r w:rsidRPr="00171E2F">
      <w:rPr>
        <w:rStyle w:val="SayfaNumaras"/>
        <w:rFonts w:ascii="Times New Roman" w:hAnsi="Times New Roman" w:cs="Times New Roman"/>
      </w:rPr>
      <w:fldChar w:fldCharType="begin"/>
    </w:r>
    <w:r w:rsidRPr="00171E2F">
      <w:rPr>
        <w:rStyle w:val="SayfaNumaras"/>
        <w:rFonts w:ascii="Times New Roman" w:hAnsi="Times New Roman" w:cs="Times New Roman"/>
      </w:rPr>
      <w:instrText xml:space="preserve">PAGE  </w:instrText>
    </w:r>
    <w:r w:rsidRPr="00171E2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71E2F">
      <w:rPr>
        <w:rStyle w:val="SayfaNumaras"/>
        <w:rFonts w:ascii="Times New Roman" w:hAnsi="Times New Roman" w:cs="Times New Roman"/>
      </w:rPr>
      <w:fldChar w:fldCharType="end"/>
    </w:r>
  </w:p>
  <w:p w:rsidR="00171E2F" w:rsidRPr="00171E2F" w:rsidRDefault="00171E2F" w:rsidP="00171E2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3E9" w:rsidRDefault="001E33E9" w:rsidP="00171E2F">
      <w:pPr>
        <w:spacing w:after="0" w:line="240" w:lineRule="auto"/>
      </w:pPr>
      <w:r>
        <w:separator/>
      </w:r>
    </w:p>
  </w:footnote>
  <w:footnote w:type="continuationSeparator" w:id="0">
    <w:p w:rsidR="001E33E9" w:rsidRDefault="001E33E9" w:rsidP="00171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2F" w:rsidRPr="00BB463B" w:rsidRDefault="00171E2F" w:rsidP="00171E2F">
    <w:pPr>
      <w:spacing w:after="0" w:line="240" w:lineRule="auto"/>
      <w:jc w:val="both"/>
      <w:rPr>
        <w:rFonts w:ascii="Times New Roman" w:eastAsia="Times New Roman" w:hAnsi="Times New Roman" w:cs="Times New Roman"/>
        <w:b/>
        <w:color w:val="000000"/>
        <w:sz w:val="24"/>
        <w:szCs w:val="27"/>
        <w:lang w:eastAsia="tr-TR"/>
      </w:rPr>
    </w:pPr>
    <w:r w:rsidRPr="00BB463B">
      <w:rPr>
        <w:rFonts w:ascii="Times New Roman" w:eastAsia="Times New Roman" w:hAnsi="Times New Roman" w:cs="Times New Roman"/>
        <w:b/>
        <w:bCs/>
        <w:color w:val="000000"/>
        <w:sz w:val="24"/>
        <w:szCs w:val="27"/>
        <w:lang w:eastAsia="tr-TR"/>
      </w:rPr>
      <w:t xml:space="preserve">Esas </w:t>
    </w:r>
    <w:proofErr w:type="gramStart"/>
    <w:r w:rsidRPr="00BB463B">
      <w:rPr>
        <w:rFonts w:ascii="Times New Roman" w:eastAsia="Times New Roman" w:hAnsi="Times New Roman" w:cs="Times New Roman"/>
        <w:b/>
        <w:bCs/>
        <w:color w:val="000000"/>
        <w:sz w:val="24"/>
        <w:szCs w:val="27"/>
        <w:lang w:eastAsia="tr-TR"/>
      </w:rPr>
      <w:t>Sayısı : 2003</w:t>
    </w:r>
    <w:proofErr w:type="gramEnd"/>
    <w:r w:rsidRPr="00BB463B">
      <w:rPr>
        <w:rFonts w:ascii="Times New Roman" w:eastAsia="Times New Roman" w:hAnsi="Times New Roman" w:cs="Times New Roman"/>
        <w:b/>
        <w:bCs/>
        <w:color w:val="000000"/>
        <w:sz w:val="24"/>
        <w:szCs w:val="27"/>
        <w:lang w:eastAsia="tr-TR"/>
      </w:rPr>
      <w:t>/15</w:t>
    </w:r>
  </w:p>
  <w:p w:rsidR="00171E2F" w:rsidRPr="00BB463B" w:rsidRDefault="00171E2F" w:rsidP="00171E2F">
    <w:pPr>
      <w:spacing w:after="0" w:line="240" w:lineRule="auto"/>
      <w:jc w:val="both"/>
      <w:rPr>
        <w:rFonts w:ascii="Times New Roman" w:eastAsia="Times New Roman" w:hAnsi="Times New Roman" w:cs="Times New Roman"/>
        <w:b/>
        <w:color w:val="000000"/>
        <w:sz w:val="24"/>
        <w:szCs w:val="27"/>
        <w:lang w:eastAsia="tr-TR"/>
      </w:rPr>
    </w:pPr>
    <w:r w:rsidRPr="00BB463B">
      <w:rPr>
        <w:rFonts w:ascii="Times New Roman" w:eastAsia="Times New Roman" w:hAnsi="Times New Roman" w:cs="Times New Roman"/>
        <w:b/>
        <w:bCs/>
        <w:color w:val="000000"/>
        <w:sz w:val="24"/>
        <w:szCs w:val="27"/>
        <w:lang w:eastAsia="tr-TR"/>
      </w:rPr>
      <w:t xml:space="preserve">Karar </w:t>
    </w:r>
    <w:proofErr w:type="gramStart"/>
    <w:r w:rsidRPr="00BB463B">
      <w:rPr>
        <w:rFonts w:ascii="Times New Roman" w:eastAsia="Times New Roman" w:hAnsi="Times New Roman" w:cs="Times New Roman"/>
        <w:b/>
        <w:bCs/>
        <w:color w:val="000000"/>
        <w:sz w:val="24"/>
        <w:szCs w:val="27"/>
        <w:lang w:eastAsia="tr-TR"/>
      </w:rPr>
      <w:t>Sayısı : 2003</w:t>
    </w:r>
    <w:proofErr w:type="gramEnd"/>
    <w:r w:rsidRPr="00BB463B">
      <w:rPr>
        <w:rFonts w:ascii="Times New Roman" w:eastAsia="Times New Roman" w:hAnsi="Times New Roman" w:cs="Times New Roman"/>
        <w:b/>
        <w:bCs/>
        <w:color w:val="000000"/>
        <w:sz w:val="24"/>
        <w:szCs w:val="27"/>
        <w:lang w:eastAsia="tr-TR"/>
      </w:rPr>
      <w:t>/7</w:t>
    </w:r>
  </w:p>
  <w:p w:rsidR="00171E2F" w:rsidRPr="00171E2F" w:rsidRDefault="00171E2F" w:rsidP="00171E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2F"/>
    <w:rsid w:val="00171E2F"/>
    <w:rsid w:val="001E33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77187-806C-4426-BE33-D8CEC789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1E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1E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1E2F"/>
  </w:style>
  <w:style w:type="paragraph" w:styleId="Altbilgi">
    <w:name w:val="footer"/>
    <w:basedOn w:val="Normal"/>
    <w:link w:val="AltbilgiChar"/>
    <w:uiPriority w:val="99"/>
    <w:unhideWhenUsed/>
    <w:rsid w:val="00171E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1E2F"/>
  </w:style>
  <w:style w:type="character" w:styleId="SayfaNumaras">
    <w:name w:val="page number"/>
    <w:basedOn w:val="VarsaylanParagrafYazTipi"/>
    <w:uiPriority w:val="99"/>
    <w:semiHidden/>
    <w:unhideWhenUsed/>
    <w:rsid w:val="0017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2019-01-15T12:08:00Z</dcterms:created>
  <dcterms:modified xsi:type="dcterms:W3CDTF">2019-01-15T12:09:00Z</dcterms:modified>
</cp:coreProperties>
</file>