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2C8" w:rsidRPr="006A62C8" w:rsidRDefault="006A62C8" w:rsidP="006A62C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A62C8">
        <w:rPr>
          <w:rFonts w:ascii="Times New Roman" w:eastAsia="Times New Roman" w:hAnsi="Times New Roman" w:cs="Times New Roman"/>
          <w:b/>
          <w:bCs/>
          <w:color w:val="000000"/>
          <w:sz w:val="24"/>
          <w:szCs w:val="24"/>
          <w:lang w:eastAsia="tr-TR"/>
        </w:rPr>
        <w:t>"...</w:t>
      </w:r>
      <w:bookmarkStart w:id="0" w:name="_GoBack"/>
      <w:bookmarkEnd w:id="0"/>
    </w:p>
    <w:p w:rsidR="006A62C8" w:rsidRPr="006A62C8" w:rsidRDefault="006A62C8" w:rsidP="006A62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2C8">
        <w:rPr>
          <w:rFonts w:ascii="Times New Roman" w:eastAsia="Times New Roman" w:hAnsi="Times New Roman" w:cs="Times New Roman"/>
          <w:b/>
          <w:bCs/>
          <w:color w:val="000000"/>
          <w:sz w:val="24"/>
          <w:szCs w:val="24"/>
          <w:lang w:eastAsia="tr-TR"/>
        </w:rPr>
        <w:t>II- İTİRAZIN GEREKÇESİ</w:t>
      </w:r>
    </w:p>
    <w:p w:rsidR="006A62C8" w:rsidRPr="006A62C8" w:rsidRDefault="006A62C8" w:rsidP="006A62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2C8">
        <w:rPr>
          <w:rFonts w:ascii="Times New Roman" w:eastAsia="Times New Roman" w:hAnsi="Times New Roman" w:cs="Times New Roman"/>
          <w:color w:val="000000"/>
          <w:sz w:val="24"/>
          <w:szCs w:val="24"/>
          <w:lang w:eastAsia="tr-TR"/>
        </w:rPr>
        <w:t>Başvuru kararının gerekçe bölümü şöyledir:</w:t>
      </w:r>
    </w:p>
    <w:p w:rsidR="006A62C8" w:rsidRPr="006A62C8" w:rsidRDefault="006A62C8" w:rsidP="006A62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2C8">
        <w:rPr>
          <w:rFonts w:ascii="Times New Roman" w:eastAsia="Times New Roman" w:hAnsi="Times New Roman" w:cs="Times New Roman"/>
          <w:color w:val="000000"/>
          <w:sz w:val="24"/>
          <w:szCs w:val="24"/>
          <w:lang w:eastAsia="tr-TR"/>
        </w:rPr>
        <w:t xml:space="preserve">"1918 sayılı Yasa'nın 27. maddesinin ikinci fıkrasında toplu kaçakçılık suçu tarih ve yaptırım altına alındıktan sonra 3. fıkrasında hürriyeti bağlayıcı cezanın yanı sıra suç konusu kaçak eşyanın nitelik ve miktarına göre, ağır para cezasında da </w:t>
      </w:r>
      <w:proofErr w:type="spellStart"/>
      <w:r w:rsidRPr="006A62C8">
        <w:rPr>
          <w:rFonts w:ascii="Times New Roman" w:eastAsia="Times New Roman" w:hAnsi="Times New Roman" w:cs="Times New Roman"/>
          <w:color w:val="000000"/>
          <w:sz w:val="24"/>
          <w:szCs w:val="24"/>
          <w:lang w:eastAsia="tr-TR"/>
        </w:rPr>
        <w:t>hükmolacağı</w:t>
      </w:r>
      <w:proofErr w:type="spellEnd"/>
      <w:r w:rsidRPr="006A62C8">
        <w:rPr>
          <w:rFonts w:ascii="Times New Roman" w:eastAsia="Times New Roman" w:hAnsi="Times New Roman" w:cs="Times New Roman"/>
          <w:color w:val="000000"/>
          <w:sz w:val="24"/>
          <w:szCs w:val="24"/>
          <w:lang w:eastAsia="tr-TR"/>
        </w:rPr>
        <w:t xml:space="preserve"> ve suç konusu kaçak eşya ve maddelerin zoralımına karar verileceği, hükmü yer almaktadır.</w:t>
      </w:r>
    </w:p>
    <w:p w:rsidR="006A62C8" w:rsidRPr="006A62C8" w:rsidRDefault="006A62C8" w:rsidP="006A62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6A62C8">
        <w:rPr>
          <w:rFonts w:ascii="Times New Roman" w:eastAsia="Times New Roman" w:hAnsi="Times New Roman" w:cs="Times New Roman"/>
          <w:color w:val="000000"/>
          <w:sz w:val="24"/>
          <w:szCs w:val="24"/>
          <w:lang w:eastAsia="tr-TR"/>
        </w:rPr>
        <w:t xml:space="preserve">Anayasaya aykırı olduğu iddiasında bulunulan 1918 sayılı Yasa'nın 27. maddesinin 4. fıkrasında ise, "ikinci fıkranın uygulanmasını gerektiren durumlarda mal ve eşyanın  özel kanunlarla veya ihracat rejimi kararlarıyla memlekete ithal veya ihracı yasaklanmamış olmakla birlikte gümrüklenmiş piyasa değerinin 30 milyon (565 milyon) lirayı geçmemesi ve tekele tabi maddelerden olmaması halinde ikinci fıkradaki ağır hapis cezasına hükmedilmeyip sadece üçüncü fıkraya göre, ağır para cezasına ve mal veya eşyanın müsaderesine karar verilir. </w:t>
      </w:r>
      <w:proofErr w:type="gramEnd"/>
      <w:r w:rsidRPr="006A62C8">
        <w:rPr>
          <w:rFonts w:ascii="Times New Roman" w:eastAsia="Times New Roman" w:hAnsi="Times New Roman" w:cs="Times New Roman"/>
          <w:color w:val="000000"/>
          <w:sz w:val="24"/>
          <w:szCs w:val="24"/>
          <w:lang w:eastAsia="tr-TR"/>
        </w:rPr>
        <w:t xml:space="preserve">Bu fıkradaki miktarı, Başbakanlık Hazine ve Dış Ticaret Müsteşarlığı tarafından yayınlanan Toptan Eşya Fiyatları Yıllık </w:t>
      </w:r>
      <w:proofErr w:type="spellStart"/>
      <w:r w:rsidRPr="006A62C8">
        <w:rPr>
          <w:rFonts w:ascii="Times New Roman" w:eastAsia="Times New Roman" w:hAnsi="Times New Roman" w:cs="Times New Roman"/>
          <w:color w:val="000000"/>
          <w:sz w:val="24"/>
          <w:szCs w:val="24"/>
          <w:lang w:eastAsia="tr-TR"/>
        </w:rPr>
        <w:t>İndeksi'ndeki</w:t>
      </w:r>
      <w:proofErr w:type="spellEnd"/>
      <w:r w:rsidRPr="006A62C8">
        <w:rPr>
          <w:rFonts w:ascii="Times New Roman" w:eastAsia="Times New Roman" w:hAnsi="Times New Roman" w:cs="Times New Roman"/>
          <w:color w:val="000000"/>
          <w:sz w:val="24"/>
          <w:szCs w:val="24"/>
          <w:lang w:eastAsia="tr-TR"/>
        </w:rPr>
        <w:t xml:space="preserve"> artışlar oranında artırmaya Bakanlar Kurulu yetkilidir. Bu kararlar Resmi </w:t>
      </w:r>
      <w:proofErr w:type="spellStart"/>
      <w:r w:rsidRPr="006A62C8">
        <w:rPr>
          <w:rFonts w:ascii="Times New Roman" w:eastAsia="Times New Roman" w:hAnsi="Times New Roman" w:cs="Times New Roman"/>
          <w:color w:val="000000"/>
          <w:sz w:val="24"/>
          <w:szCs w:val="24"/>
          <w:lang w:eastAsia="tr-TR"/>
        </w:rPr>
        <w:t>Gazete'de</w:t>
      </w:r>
      <w:proofErr w:type="spellEnd"/>
      <w:r w:rsidRPr="006A62C8">
        <w:rPr>
          <w:rFonts w:ascii="Times New Roman" w:eastAsia="Times New Roman" w:hAnsi="Times New Roman" w:cs="Times New Roman"/>
          <w:color w:val="000000"/>
          <w:sz w:val="24"/>
          <w:szCs w:val="24"/>
          <w:lang w:eastAsia="tr-TR"/>
        </w:rPr>
        <w:t xml:space="preserve"> yayımlanır." hükmü yer almaktadır.</w:t>
      </w:r>
    </w:p>
    <w:p w:rsidR="006A62C8" w:rsidRPr="006A62C8" w:rsidRDefault="006A62C8" w:rsidP="006A62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62C8">
        <w:rPr>
          <w:rFonts w:ascii="Times New Roman" w:eastAsia="Times New Roman" w:hAnsi="Times New Roman" w:cs="Times New Roman"/>
          <w:color w:val="000000"/>
          <w:sz w:val="24"/>
          <w:szCs w:val="24"/>
          <w:lang w:eastAsia="tr-TR"/>
        </w:rPr>
        <w:t>Anayasanın 7. maddesinde "Yasama yetkisi Türk Milleti adına Türkiye Büyük Millet Meclisinindir. Bu yetki devredilemez."</w:t>
      </w:r>
    </w:p>
    <w:p w:rsidR="006A62C8" w:rsidRPr="006A62C8" w:rsidRDefault="006A62C8" w:rsidP="006A62C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6A62C8">
        <w:rPr>
          <w:rFonts w:ascii="Times New Roman" w:eastAsia="Times New Roman" w:hAnsi="Times New Roman" w:cs="Times New Roman"/>
          <w:color w:val="000000"/>
          <w:sz w:val="24"/>
          <w:szCs w:val="24"/>
          <w:lang w:eastAsia="tr-TR"/>
        </w:rPr>
        <w:t>38. maddesinde "Ceza ve ceza yerine geçen tedbirler ancak kanunla konur.", "İdare, kişi hürriyetinin kısıtlanması sonucunu doğuran bir müeyyide uygulayamaz." şeklindeki suç ve cezaların kanuniliği prensipleri karşısında 1918 sayılı Kaçakçılığın Men ve Takibine Dair Yasanın 27. maddesinin 4. fıkrasının yukarıda yazılı 3 ve 4. cümlelerinin Anayasaya aykırılığı iddiası mahkememizce ciddi bulunmuştur.""</w:t>
      </w:r>
      <w:proofErr w:type="gramEnd"/>
    </w:p>
    <w:p w:rsidR="00CE1FB9" w:rsidRPr="006A62C8" w:rsidRDefault="00CE1FB9" w:rsidP="006A62C8">
      <w:pPr>
        <w:spacing w:before="100" w:beforeAutospacing="1" w:after="100" w:afterAutospacing="1" w:line="240" w:lineRule="auto"/>
        <w:ind w:firstLine="709"/>
        <w:jc w:val="both"/>
        <w:rPr>
          <w:rFonts w:ascii="Times New Roman" w:hAnsi="Times New Roman" w:cs="Times New Roman"/>
          <w:sz w:val="24"/>
        </w:rPr>
      </w:pPr>
    </w:p>
    <w:sectPr w:rsidR="00CE1FB9" w:rsidRPr="006A62C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298" w:rsidRDefault="00317298" w:rsidP="006A62C8">
      <w:pPr>
        <w:spacing w:after="0" w:line="240" w:lineRule="auto"/>
      </w:pPr>
      <w:r>
        <w:separator/>
      </w:r>
    </w:p>
  </w:endnote>
  <w:endnote w:type="continuationSeparator" w:id="0">
    <w:p w:rsidR="00317298" w:rsidRDefault="00317298" w:rsidP="006A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2C8" w:rsidRDefault="006A62C8" w:rsidP="00AD25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62C8" w:rsidRDefault="006A62C8" w:rsidP="006A62C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2C8" w:rsidRPr="006A62C8" w:rsidRDefault="006A62C8" w:rsidP="00AD2505">
    <w:pPr>
      <w:pStyle w:val="Altbilgi"/>
      <w:framePr w:wrap="around" w:vAnchor="text" w:hAnchor="margin" w:xAlign="right" w:y="1"/>
      <w:rPr>
        <w:rStyle w:val="SayfaNumaras"/>
        <w:rFonts w:ascii="Times New Roman" w:hAnsi="Times New Roman" w:cs="Times New Roman"/>
      </w:rPr>
    </w:pPr>
    <w:r w:rsidRPr="006A62C8">
      <w:rPr>
        <w:rStyle w:val="SayfaNumaras"/>
        <w:rFonts w:ascii="Times New Roman" w:hAnsi="Times New Roman" w:cs="Times New Roman"/>
      </w:rPr>
      <w:fldChar w:fldCharType="begin"/>
    </w:r>
    <w:r w:rsidRPr="006A62C8">
      <w:rPr>
        <w:rStyle w:val="SayfaNumaras"/>
        <w:rFonts w:ascii="Times New Roman" w:hAnsi="Times New Roman" w:cs="Times New Roman"/>
      </w:rPr>
      <w:instrText xml:space="preserve">PAGE  </w:instrText>
    </w:r>
    <w:r w:rsidRPr="006A62C8">
      <w:rPr>
        <w:rStyle w:val="SayfaNumaras"/>
        <w:rFonts w:ascii="Times New Roman" w:hAnsi="Times New Roman" w:cs="Times New Roman"/>
      </w:rPr>
      <w:fldChar w:fldCharType="separate"/>
    </w:r>
    <w:r w:rsidR="008440A1">
      <w:rPr>
        <w:rStyle w:val="SayfaNumaras"/>
        <w:rFonts w:ascii="Times New Roman" w:hAnsi="Times New Roman" w:cs="Times New Roman"/>
        <w:noProof/>
      </w:rPr>
      <w:t>1</w:t>
    </w:r>
    <w:r w:rsidRPr="006A62C8">
      <w:rPr>
        <w:rStyle w:val="SayfaNumaras"/>
        <w:rFonts w:ascii="Times New Roman" w:hAnsi="Times New Roman" w:cs="Times New Roman"/>
      </w:rPr>
      <w:fldChar w:fldCharType="end"/>
    </w:r>
  </w:p>
  <w:p w:rsidR="006A62C8" w:rsidRPr="006A62C8" w:rsidRDefault="006A62C8" w:rsidP="006A62C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298" w:rsidRDefault="00317298" w:rsidP="006A62C8">
      <w:pPr>
        <w:spacing w:after="0" w:line="240" w:lineRule="auto"/>
      </w:pPr>
      <w:r>
        <w:separator/>
      </w:r>
    </w:p>
  </w:footnote>
  <w:footnote w:type="continuationSeparator" w:id="0">
    <w:p w:rsidR="00317298" w:rsidRDefault="00317298" w:rsidP="006A6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2C8" w:rsidRPr="001F7C8A" w:rsidRDefault="006A62C8" w:rsidP="006A62C8">
    <w:pPr>
      <w:spacing w:after="0" w:line="240" w:lineRule="auto"/>
      <w:jc w:val="both"/>
      <w:rPr>
        <w:rFonts w:ascii="Times New Roman" w:eastAsia="Times New Roman" w:hAnsi="Times New Roman" w:cs="Times New Roman"/>
        <w:b/>
        <w:color w:val="000000"/>
        <w:sz w:val="24"/>
        <w:szCs w:val="20"/>
        <w:lang w:eastAsia="tr-TR"/>
      </w:rPr>
    </w:pPr>
    <w:r w:rsidRPr="001F7C8A">
      <w:rPr>
        <w:rFonts w:ascii="Times New Roman" w:eastAsia="Times New Roman" w:hAnsi="Times New Roman" w:cs="Times New Roman"/>
        <w:b/>
        <w:bCs/>
        <w:color w:val="000000"/>
        <w:sz w:val="24"/>
        <w:szCs w:val="24"/>
        <w:lang w:eastAsia="tr-TR"/>
      </w:rPr>
      <w:t xml:space="preserve">Esas </w:t>
    </w:r>
    <w:proofErr w:type="gramStart"/>
    <w:r w:rsidRPr="001F7C8A">
      <w:rPr>
        <w:rFonts w:ascii="Times New Roman" w:eastAsia="Times New Roman" w:hAnsi="Times New Roman" w:cs="Times New Roman"/>
        <w:b/>
        <w:bCs/>
        <w:color w:val="000000"/>
        <w:sz w:val="24"/>
        <w:szCs w:val="24"/>
        <w:lang w:eastAsia="tr-TR"/>
      </w:rPr>
      <w:t>Sayısı    : 2000</w:t>
    </w:r>
    <w:proofErr w:type="gramEnd"/>
    <w:r w:rsidRPr="001F7C8A">
      <w:rPr>
        <w:rFonts w:ascii="Times New Roman" w:eastAsia="Times New Roman" w:hAnsi="Times New Roman" w:cs="Times New Roman"/>
        <w:b/>
        <w:bCs/>
        <w:color w:val="000000"/>
        <w:sz w:val="24"/>
        <w:szCs w:val="24"/>
        <w:lang w:eastAsia="tr-TR"/>
      </w:rPr>
      <w:t>/5</w:t>
    </w:r>
  </w:p>
  <w:p w:rsidR="006A62C8" w:rsidRPr="001F7C8A" w:rsidRDefault="006A62C8" w:rsidP="006A62C8">
    <w:pPr>
      <w:spacing w:after="0" w:line="240" w:lineRule="auto"/>
      <w:jc w:val="both"/>
      <w:rPr>
        <w:rFonts w:ascii="Times New Roman" w:eastAsia="Times New Roman" w:hAnsi="Times New Roman" w:cs="Times New Roman"/>
        <w:b/>
        <w:color w:val="000000"/>
        <w:sz w:val="24"/>
        <w:szCs w:val="20"/>
        <w:lang w:eastAsia="tr-TR"/>
      </w:rPr>
    </w:pPr>
    <w:r w:rsidRPr="001F7C8A">
      <w:rPr>
        <w:rFonts w:ascii="Times New Roman" w:eastAsia="Times New Roman" w:hAnsi="Times New Roman" w:cs="Times New Roman"/>
        <w:b/>
        <w:bCs/>
        <w:color w:val="000000"/>
        <w:sz w:val="24"/>
        <w:szCs w:val="24"/>
        <w:lang w:eastAsia="tr-TR"/>
      </w:rPr>
      <w:t xml:space="preserve">Karar </w:t>
    </w:r>
    <w:proofErr w:type="gramStart"/>
    <w:r w:rsidRPr="001F7C8A">
      <w:rPr>
        <w:rFonts w:ascii="Times New Roman" w:eastAsia="Times New Roman" w:hAnsi="Times New Roman" w:cs="Times New Roman"/>
        <w:b/>
        <w:bCs/>
        <w:color w:val="000000"/>
        <w:sz w:val="24"/>
        <w:szCs w:val="24"/>
        <w:lang w:eastAsia="tr-TR"/>
      </w:rPr>
      <w:t>Sayısı : 2003</w:t>
    </w:r>
    <w:proofErr w:type="gramEnd"/>
    <w:r w:rsidRPr="001F7C8A">
      <w:rPr>
        <w:rFonts w:ascii="Times New Roman" w:eastAsia="Times New Roman" w:hAnsi="Times New Roman" w:cs="Times New Roman"/>
        <w:b/>
        <w:bCs/>
        <w:color w:val="000000"/>
        <w:sz w:val="24"/>
        <w:szCs w:val="24"/>
        <w:lang w:eastAsia="tr-TR"/>
      </w:rPr>
      <w:t>/65</w:t>
    </w:r>
  </w:p>
  <w:p w:rsidR="006A62C8" w:rsidRPr="006A62C8" w:rsidRDefault="006A62C8" w:rsidP="006A62C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C8"/>
    <w:rsid w:val="00317298"/>
    <w:rsid w:val="006A62C8"/>
    <w:rsid w:val="008440A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79D50-D529-4FBE-BE86-3DD6303B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62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62C8"/>
  </w:style>
  <w:style w:type="paragraph" w:styleId="Altbilgi">
    <w:name w:val="footer"/>
    <w:basedOn w:val="Normal"/>
    <w:link w:val="AltbilgiChar"/>
    <w:uiPriority w:val="99"/>
    <w:unhideWhenUsed/>
    <w:rsid w:val="006A62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62C8"/>
  </w:style>
  <w:style w:type="character" w:styleId="SayfaNumaras">
    <w:name w:val="page number"/>
    <w:basedOn w:val="VarsaylanParagrafYazTipi"/>
    <w:uiPriority w:val="99"/>
    <w:semiHidden/>
    <w:unhideWhenUsed/>
    <w:rsid w:val="006A6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85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2019-01-15T12:00:00Z</dcterms:created>
  <dcterms:modified xsi:type="dcterms:W3CDTF">2019-01-15T12:00:00Z</dcterms:modified>
</cp:coreProperties>
</file>