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1041" w:rsidRPr="00041041" w:rsidRDefault="00041041" w:rsidP="00041041">
      <w:pPr>
        <w:pStyle w:val="NormalWeb"/>
        <w:ind w:firstLine="709"/>
        <w:jc w:val="both"/>
        <w:rPr>
          <w:b/>
          <w:bCs/>
          <w:color w:val="000000"/>
          <w:szCs w:val="27"/>
        </w:rPr>
      </w:pPr>
      <w:r w:rsidRPr="00041041">
        <w:rPr>
          <w:b/>
          <w:bCs/>
          <w:color w:val="000000"/>
          <w:szCs w:val="27"/>
        </w:rPr>
        <w:t>"...</w:t>
      </w:r>
    </w:p>
    <w:p w:rsidR="00041041" w:rsidRPr="00041041" w:rsidRDefault="00041041" w:rsidP="00041041">
      <w:pPr>
        <w:pStyle w:val="NormalWeb"/>
        <w:ind w:firstLine="709"/>
        <w:jc w:val="both"/>
        <w:rPr>
          <w:color w:val="000000"/>
          <w:szCs w:val="27"/>
        </w:rPr>
      </w:pPr>
      <w:r w:rsidRPr="00041041">
        <w:rPr>
          <w:b/>
          <w:bCs/>
          <w:color w:val="000000"/>
          <w:szCs w:val="27"/>
        </w:rPr>
        <w:t>II- İTİRAZIN GEREKÇESİ</w:t>
      </w:r>
      <w:bookmarkStart w:id="0" w:name="_GoBack"/>
      <w:bookmarkEnd w:id="0"/>
    </w:p>
    <w:p w:rsidR="00041041" w:rsidRPr="00041041" w:rsidRDefault="00041041" w:rsidP="00041041">
      <w:pPr>
        <w:pStyle w:val="NormalWeb"/>
        <w:ind w:firstLine="709"/>
        <w:jc w:val="both"/>
        <w:rPr>
          <w:color w:val="000000"/>
          <w:szCs w:val="27"/>
        </w:rPr>
      </w:pPr>
      <w:r w:rsidRPr="00041041">
        <w:rPr>
          <w:color w:val="000000"/>
          <w:szCs w:val="27"/>
        </w:rPr>
        <w:t>İtiraz başvurusunun gerekçe bölümü şöyledir:</w:t>
      </w:r>
    </w:p>
    <w:p w:rsidR="00041041" w:rsidRPr="00041041" w:rsidRDefault="00041041" w:rsidP="00041041">
      <w:pPr>
        <w:pStyle w:val="NormalWeb"/>
        <w:ind w:firstLine="709"/>
        <w:jc w:val="both"/>
        <w:rPr>
          <w:color w:val="000000"/>
          <w:szCs w:val="27"/>
        </w:rPr>
      </w:pPr>
      <w:r w:rsidRPr="00041041">
        <w:rPr>
          <w:color w:val="000000"/>
          <w:szCs w:val="27"/>
        </w:rPr>
        <w:t>"T.C. Anayasasının 10. maddesinde, Herkesin kanun önünde eşit olduğu ve kimseye imtiyaz tanınmayacağı hükme bağlanmış olup, 70. maddesinde ise "Her Türk, kamu hizmetlerine girme hakkına sahiptir. Hizmete alınmada görevin gerektirdiği niteliklerden başka hiç bir ayrım gözetilmez" hükmüne yer verilmiştir.</w:t>
      </w:r>
    </w:p>
    <w:p w:rsidR="00041041" w:rsidRPr="00041041" w:rsidRDefault="00041041" w:rsidP="00041041">
      <w:pPr>
        <w:pStyle w:val="NormalWeb"/>
        <w:ind w:firstLine="709"/>
        <w:jc w:val="both"/>
        <w:rPr>
          <w:color w:val="000000"/>
          <w:szCs w:val="27"/>
        </w:rPr>
      </w:pPr>
      <w:r w:rsidRPr="00041041">
        <w:rPr>
          <w:color w:val="000000"/>
          <w:szCs w:val="27"/>
        </w:rPr>
        <w:t>1136 sayılı Avukatlık Kanununun 3/b maddesinde Avukatlığa kabul şartları arasında "Türk Hukuk Fakültelerinden birinden mezun olmak veya yabancı memleket Hukuk Fakültesinden mezun olup da, Türkiye Hukuk Fakülteleri Programlarına göre noksan kalan derslerden, başarılı sınav vermiş bulunmak "hükmüne yer verilmiş; 4. maddesinin 1. fıkrasında ise "Adli, idari ve Askeri Yargı hakimlik veya savcılıklarında, Anayasa Mahkemesi raportörlüklerinde, Danıştay üyeliklerinde bulunan kimselerin 4 yıl süreyle bu hizmetlerde bulunmaları halinde Kanunun 3. maddesi "c" bendinde staj şartından muaf tutulmak suretiyle mesleğe kabul edilecekleri" hükmüne yer verilmiştir.</w:t>
      </w:r>
    </w:p>
    <w:p w:rsidR="00041041" w:rsidRPr="00041041" w:rsidRDefault="00041041" w:rsidP="00041041">
      <w:pPr>
        <w:pStyle w:val="NormalWeb"/>
        <w:ind w:firstLine="709"/>
        <w:jc w:val="both"/>
        <w:rPr>
          <w:color w:val="000000"/>
          <w:szCs w:val="27"/>
        </w:rPr>
      </w:pPr>
      <w:r w:rsidRPr="00041041">
        <w:rPr>
          <w:color w:val="000000"/>
          <w:szCs w:val="27"/>
        </w:rPr>
        <w:t>Dava dosyasının incelenmesinden, İstanbul Üniversitesi Siyasal Bilgiler Fakültesi mezunu olan ve Mayıs 1993 tarihinden itibaren idari yargı hakimi olarak görev yapan davacının, avukatlık mesleğine kabul edilmesi, yönünde Diyarbakır Barosu Başkanlığına yaptığı, 2.2.2001 tarihli başvurunun zımnen reddedilmesi üzerine bakılan davanın açıldığı anlaşılmıştır.</w:t>
      </w:r>
    </w:p>
    <w:p w:rsidR="00041041" w:rsidRPr="00041041" w:rsidRDefault="00041041" w:rsidP="00041041">
      <w:pPr>
        <w:pStyle w:val="NormalWeb"/>
        <w:ind w:firstLine="709"/>
        <w:jc w:val="both"/>
        <w:rPr>
          <w:color w:val="000000"/>
          <w:szCs w:val="27"/>
        </w:rPr>
      </w:pPr>
      <w:r w:rsidRPr="00041041">
        <w:rPr>
          <w:color w:val="000000"/>
          <w:szCs w:val="27"/>
        </w:rPr>
        <w:t>Bakılan davada, Siyasal Bilgiler Fakültesi ile İktisadi ve İdari Bilimler Fakültesi mezunları ile birlikte Hukuk Fakültesi mezunlarının da maliye müfettişliği, hesap uzmanlığı, gümrük müfettişliği, sayıştay denetçiliği gibi mesleklere girebilmeleri olanaklı iken, ve Siyasal Bilgiler Fakültesi ve İktisadi ve İdari Bilimler Fakültesi mezunlarının Danıştay ve Anayasa Mahkemesi üyesi olabildikleri halde, 1136 sayılı Kanun'un 3/b. maddesi hükmü uyarınca Avukat olamamaları nedeniyle bu hususun Anayasanın 10. ve 70. maddelerinde belirtilen "Kanun önünde eşitlik" ilkesine aykırı olduğu sonucuna varılmıştır.</w:t>
      </w:r>
    </w:p>
    <w:p w:rsidR="00041041" w:rsidRPr="00041041" w:rsidRDefault="00041041" w:rsidP="00041041">
      <w:pPr>
        <w:pStyle w:val="NormalWeb"/>
        <w:ind w:firstLine="709"/>
        <w:jc w:val="both"/>
        <w:rPr>
          <w:color w:val="000000"/>
          <w:szCs w:val="27"/>
        </w:rPr>
      </w:pPr>
      <w:r w:rsidRPr="00041041">
        <w:rPr>
          <w:color w:val="000000"/>
          <w:szCs w:val="27"/>
        </w:rPr>
        <w:t>Öte yandan, 2949 sayılı Anayasa Mahkemesinin Kuruluşu ve Yargılama Usulleri Hakkında Kanunun 28. maddesinde "...Bir davaya bakmakta olan mahkeme: ...taraflardan birinin ileri sürdüğü aykırılık iddiasının ciddi olduğu kanısına varırsa taraflardan bu konudaki iddia ve savunmalarını ve kendisini bu kanıya götüren görüşünü açıklayıcı kararı; dosya muhtevasını mahkemece bu konu ile ilgili görülen belgelerin tasdikli örnekleri ile birlikte Anayasa Mahkemesi Başkanlığına gönderir. Anayasa Mahkemesi Genel Sekreterliği gelen evrakı kaleme havale eder ve keyfiyeti ilgili mahkemeye bir yazı ile bildirir. Evrakın kayda girişinden itibaren 10 gün içinde noksanlıkların olup olmadığı incelenir. Anayasa Mahkemesince yapılan bu incelemede, eksiklikleri olduğu anlaşılan işlerin geri çevrilmesine, mahkemesinin yetkisiz olduğu tespit edilen başvurmalarında reddine karar verilir. Anayasa Mahkemesi, işin kendisine noksansız olarak gelişinden başlamak üzere beş ay içinde karar verilmezse ilgili Mahkeme davayı yürürlükteki kanun hükümlerine göre sonuçlandırır." hükmü yer almıştır.</w:t>
      </w:r>
    </w:p>
    <w:p w:rsidR="00041041" w:rsidRPr="00041041" w:rsidRDefault="00041041" w:rsidP="00041041">
      <w:pPr>
        <w:pStyle w:val="NormalWeb"/>
        <w:ind w:firstLine="709"/>
        <w:jc w:val="both"/>
        <w:rPr>
          <w:color w:val="000000"/>
          <w:szCs w:val="27"/>
        </w:rPr>
      </w:pPr>
      <w:r w:rsidRPr="00041041">
        <w:rPr>
          <w:color w:val="000000"/>
          <w:szCs w:val="27"/>
        </w:rPr>
        <w:t xml:space="preserve">Açıklanan nedenlerle, 2949 sayılı Kanun'un 28. maddesi hükmü uyarınca 1136 sayılı Avukatlık Kanunu'nun 3/b maddesinin Anayasanın 10. ve 70. maddeleri birinci ve ikinci </w:t>
      </w:r>
      <w:r w:rsidRPr="00041041">
        <w:rPr>
          <w:color w:val="000000"/>
          <w:szCs w:val="27"/>
        </w:rPr>
        <w:lastRenderedPageBreak/>
        <w:t>fıkralarına aykırılık iddiası hakkında karar verilmek üzere dava dosyasındaki belgelerin onaylı örneklerinin Anayasa Mahkemesine gönderilmesine, dava dosyasının bu hususta karar verilene veya 5 Aylık süre geçene kadar bekletilmesine, 23.10.2001 tarihinde oybirliği ile karar verildi."</w:t>
      </w:r>
      <w:r w:rsidRPr="00041041">
        <w:rPr>
          <w:color w:val="000000"/>
          <w:szCs w:val="27"/>
        </w:rPr>
        <w:t>"</w:t>
      </w:r>
    </w:p>
    <w:p w:rsidR="00CE1FB9" w:rsidRPr="00041041" w:rsidRDefault="00CE1FB9" w:rsidP="00041041">
      <w:pPr>
        <w:spacing w:before="100" w:beforeAutospacing="1" w:after="100" w:afterAutospacing="1" w:line="240" w:lineRule="auto"/>
        <w:ind w:firstLine="709"/>
        <w:jc w:val="both"/>
        <w:rPr>
          <w:rFonts w:ascii="Times New Roman" w:hAnsi="Times New Roman" w:cs="Times New Roman"/>
          <w:sz w:val="24"/>
        </w:rPr>
      </w:pPr>
    </w:p>
    <w:sectPr w:rsidR="00CE1FB9" w:rsidRPr="00041041">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26FE" w:rsidRDefault="00BC26FE" w:rsidP="00041041">
      <w:pPr>
        <w:spacing w:after="0" w:line="240" w:lineRule="auto"/>
      </w:pPr>
      <w:r>
        <w:separator/>
      </w:r>
    </w:p>
  </w:endnote>
  <w:endnote w:type="continuationSeparator" w:id="0">
    <w:p w:rsidR="00BC26FE" w:rsidRDefault="00BC26FE" w:rsidP="000410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1041" w:rsidRDefault="00041041" w:rsidP="00EC25EA">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41041" w:rsidRDefault="00041041" w:rsidP="00041041">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1041" w:rsidRPr="00041041" w:rsidRDefault="00041041" w:rsidP="00EC25EA">
    <w:pPr>
      <w:pStyle w:val="Altbilgi"/>
      <w:framePr w:wrap="around" w:vAnchor="text" w:hAnchor="margin" w:xAlign="right" w:y="1"/>
      <w:rPr>
        <w:rStyle w:val="SayfaNumaras"/>
        <w:rFonts w:ascii="Times New Roman" w:hAnsi="Times New Roman" w:cs="Times New Roman"/>
      </w:rPr>
    </w:pPr>
    <w:r w:rsidRPr="00041041">
      <w:rPr>
        <w:rStyle w:val="SayfaNumaras"/>
        <w:rFonts w:ascii="Times New Roman" w:hAnsi="Times New Roman" w:cs="Times New Roman"/>
      </w:rPr>
      <w:fldChar w:fldCharType="begin"/>
    </w:r>
    <w:r w:rsidRPr="00041041">
      <w:rPr>
        <w:rStyle w:val="SayfaNumaras"/>
        <w:rFonts w:ascii="Times New Roman" w:hAnsi="Times New Roman" w:cs="Times New Roman"/>
      </w:rPr>
      <w:instrText xml:space="preserve">PAGE  </w:instrText>
    </w:r>
    <w:r w:rsidRPr="00041041">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041041">
      <w:rPr>
        <w:rStyle w:val="SayfaNumaras"/>
        <w:rFonts w:ascii="Times New Roman" w:hAnsi="Times New Roman" w:cs="Times New Roman"/>
      </w:rPr>
      <w:fldChar w:fldCharType="end"/>
    </w:r>
  </w:p>
  <w:p w:rsidR="00041041" w:rsidRPr="00041041" w:rsidRDefault="00041041" w:rsidP="00041041">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26FE" w:rsidRDefault="00BC26FE" w:rsidP="00041041">
      <w:pPr>
        <w:spacing w:after="0" w:line="240" w:lineRule="auto"/>
      </w:pPr>
      <w:r>
        <w:separator/>
      </w:r>
    </w:p>
  </w:footnote>
  <w:footnote w:type="continuationSeparator" w:id="0">
    <w:p w:rsidR="00BC26FE" w:rsidRDefault="00BC26FE" w:rsidP="0004104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1041" w:rsidRPr="0009052B" w:rsidRDefault="00041041" w:rsidP="00041041">
    <w:pPr>
      <w:spacing w:after="0" w:line="240" w:lineRule="auto"/>
      <w:jc w:val="both"/>
      <w:rPr>
        <w:rFonts w:ascii="Times New Roman" w:eastAsia="Times New Roman" w:hAnsi="Times New Roman" w:cs="Times New Roman"/>
        <w:b/>
        <w:color w:val="000000"/>
        <w:sz w:val="24"/>
        <w:szCs w:val="27"/>
        <w:lang w:eastAsia="tr-TR"/>
      </w:rPr>
    </w:pPr>
    <w:r w:rsidRPr="0009052B">
      <w:rPr>
        <w:rFonts w:ascii="Times New Roman" w:eastAsia="Times New Roman" w:hAnsi="Times New Roman" w:cs="Times New Roman"/>
        <w:b/>
        <w:bCs/>
        <w:color w:val="000000"/>
        <w:sz w:val="24"/>
        <w:szCs w:val="27"/>
        <w:lang w:eastAsia="tr-TR"/>
      </w:rPr>
      <w:t>Esas Sayısı : 2002/8</w:t>
    </w:r>
  </w:p>
  <w:p w:rsidR="00041041" w:rsidRPr="0009052B" w:rsidRDefault="00041041" w:rsidP="00041041">
    <w:pPr>
      <w:spacing w:after="0" w:line="240" w:lineRule="auto"/>
      <w:jc w:val="both"/>
      <w:rPr>
        <w:rFonts w:ascii="Times New Roman" w:eastAsia="Times New Roman" w:hAnsi="Times New Roman" w:cs="Times New Roman"/>
        <w:b/>
        <w:color w:val="000000"/>
        <w:sz w:val="24"/>
        <w:szCs w:val="27"/>
        <w:lang w:eastAsia="tr-TR"/>
      </w:rPr>
    </w:pPr>
    <w:r w:rsidRPr="0009052B">
      <w:rPr>
        <w:rFonts w:ascii="Times New Roman" w:eastAsia="Times New Roman" w:hAnsi="Times New Roman" w:cs="Times New Roman"/>
        <w:b/>
        <w:bCs/>
        <w:color w:val="000000"/>
        <w:sz w:val="24"/>
        <w:szCs w:val="27"/>
        <w:lang w:eastAsia="tr-TR"/>
      </w:rPr>
      <w:t>Karar Sayısı : 2003/47</w:t>
    </w:r>
  </w:p>
  <w:p w:rsidR="00041041" w:rsidRPr="00041041" w:rsidRDefault="00041041" w:rsidP="00041041">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1041"/>
    <w:rsid w:val="00041041"/>
    <w:rsid w:val="00BC26FE"/>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B9F69DC-1EE1-4F14-8EEF-E635A550E6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41041"/>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41041"/>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41041"/>
  </w:style>
  <w:style w:type="paragraph" w:styleId="Altbilgi">
    <w:name w:val="footer"/>
    <w:basedOn w:val="Normal"/>
    <w:link w:val="AltbilgiChar"/>
    <w:uiPriority w:val="99"/>
    <w:unhideWhenUsed/>
    <w:rsid w:val="00041041"/>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41041"/>
  </w:style>
  <w:style w:type="character" w:styleId="SayfaNumaras">
    <w:name w:val="page number"/>
    <w:basedOn w:val="VarsaylanParagrafYazTipi"/>
    <w:uiPriority w:val="99"/>
    <w:semiHidden/>
    <w:unhideWhenUsed/>
    <w:rsid w:val="000410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2937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526</Words>
  <Characters>3002</Characters>
  <Application>Microsoft Office Word</Application>
  <DocSecurity>0</DocSecurity>
  <Lines>25</Lines>
  <Paragraphs>7</Paragraphs>
  <ScaleCrop>false</ScaleCrop>
  <Company/>
  <LinksUpToDate>false</LinksUpToDate>
  <CharactersWithSpaces>3521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2019-01-15T11:05:00Z</dcterms:created>
  <dcterms:modified xsi:type="dcterms:W3CDTF">2019-01-15T11:05:00Z</dcterms:modified>
</cp:coreProperties>
</file>