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502E" w:rsidRPr="00AA502E" w:rsidRDefault="00AA502E" w:rsidP="00AA502E">
      <w:pPr>
        <w:pStyle w:val="NormalWeb"/>
        <w:ind w:firstLine="709"/>
        <w:jc w:val="both"/>
        <w:rPr>
          <w:b/>
          <w:bCs/>
          <w:color w:val="000000"/>
          <w:szCs w:val="27"/>
        </w:rPr>
      </w:pPr>
      <w:r w:rsidRPr="00AA502E">
        <w:rPr>
          <w:b/>
          <w:bCs/>
          <w:color w:val="000000"/>
          <w:szCs w:val="27"/>
        </w:rPr>
        <w:t>"...</w:t>
      </w:r>
    </w:p>
    <w:p w:rsidR="00AA502E" w:rsidRPr="00AA502E" w:rsidRDefault="00AA502E" w:rsidP="00AA502E">
      <w:pPr>
        <w:pStyle w:val="NormalWeb"/>
        <w:ind w:firstLine="709"/>
        <w:jc w:val="both"/>
        <w:rPr>
          <w:color w:val="000000"/>
          <w:szCs w:val="27"/>
        </w:rPr>
      </w:pPr>
      <w:r w:rsidRPr="00AA502E">
        <w:rPr>
          <w:b/>
          <w:bCs/>
          <w:color w:val="000000"/>
          <w:szCs w:val="27"/>
        </w:rPr>
        <w:t>II- İTİRAZIN GEREKÇESİ</w:t>
      </w:r>
      <w:bookmarkStart w:id="0" w:name="_GoBack"/>
      <w:bookmarkEnd w:id="0"/>
    </w:p>
    <w:p w:rsidR="00AA502E" w:rsidRPr="00AA502E" w:rsidRDefault="00AA502E" w:rsidP="00AA502E">
      <w:pPr>
        <w:pStyle w:val="NormalWeb"/>
        <w:ind w:firstLine="709"/>
        <w:jc w:val="both"/>
        <w:rPr>
          <w:color w:val="000000"/>
          <w:szCs w:val="27"/>
        </w:rPr>
      </w:pPr>
      <w:r w:rsidRPr="00AA502E">
        <w:rPr>
          <w:color w:val="000000"/>
          <w:szCs w:val="27"/>
        </w:rPr>
        <w:t>Başvuru kararının gerekçe bölümü şöyledir:</w:t>
      </w:r>
    </w:p>
    <w:p w:rsidR="00AA502E" w:rsidRPr="00AA502E" w:rsidRDefault="00AA502E" w:rsidP="00AA502E">
      <w:pPr>
        <w:pStyle w:val="NormalWeb"/>
        <w:ind w:firstLine="709"/>
        <w:jc w:val="both"/>
        <w:rPr>
          <w:color w:val="000000"/>
          <w:szCs w:val="27"/>
        </w:rPr>
      </w:pPr>
      <w:r w:rsidRPr="00AA502E">
        <w:rPr>
          <w:color w:val="000000"/>
          <w:szCs w:val="27"/>
        </w:rPr>
        <w:t>"Bursa 2. İdare Mahkemesi Zabıt Katibi Sibel Yalçın tarafından 3717 sayılı Adli Personel ile Devlet Davalarını Takip Edenlere Yol Gideri ve Tazminat Verilmesi ile 492 Sayılı Harçlar Kanununun Bir Maddesinin Yürürlükten Kaldırılması Hakkında Kanunun 2 nci maddesinin 449 sayılı Kanun Hükmünde Kararname ile değişik 6. ve müteakip fıkra hükümlerinin kendisine de uygulanarak anılan hükümlerle getirilen parasal haklardan yararlandırılması ve 2577 sayılı İdari Yargılama Usulü Kanununun 59. maddesinde değişiklik yapan 4001 sayılı Yasanın yürürlüğe girdiği 18.6.1994 tarihinden itibaren gerekli ödemenin yapılması istemiyle yaptığı başvurunun cevap verilmemesi suretiyle zımnen reddine ilişkin işlemin iptali istemiyle Adalet Bakanlığına karşı açılan davada, 3717 sayılı Yasanın 2. maddesinin 6.ve 7.fıkralarının Anayasa'ya aykırı olduğu yolundaki davacı iddiası altıncı fıkra yönünden mahkememizce ciddi bulunarak gereği görüşüldü:</w:t>
      </w:r>
    </w:p>
    <w:p w:rsidR="00AA502E" w:rsidRPr="00AA502E" w:rsidRDefault="00AA502E" w:rsidP="00AA502E">
      <w:pPr>
        <w:pStyle w:val="NormalWeb"/>
        <w:ind w:firstLine="709"/>
        <w:jc w:val="both"/>
        <w:rPr>
          <w:color w:val="000000"/>
          <w:szCs w:val="27"/>
        </w:rPr>
      </w:pPr>
      <w:r w:rsidRPr="00AA502E">
        <w:rPr>
          <w:color w:val="000000"/>
          <w:szCs w:val="27"/>
        </w:rPr>
        <w:t>Davacı, Bursa 2. İdare Mahkemesinde zabıt katibi olarak görev yapmakta olup, 3.10.2002 günlü dilekçeyle davalı idareye başvurarak 2577 sayılı İdari Yargılama Usulü Kanununun 18.6.1994 tarihli ve 21964 sayılı Resmi Gazetede yayımlanarak aynı gün yürürlüğe giren 4001 sayılı Kanunla değişik 59. maddesinin 2. fıkrası ile yollamada bulunulan 3717 sayılı Adli Personel ile Devlet Davalarını Takip Edenlere Yol Giderleri ve Tazminat Verilmesi ile 492 sayılı Harçlar Kanununun Bir Maddesinin Yürürlükten Kaldırılması Hakkında Kanunun 2. maddesinin tarafına uygulanarak (uyarlanarak) adli ve idarî yargı personeli arasında parasal haklar yönünden ortaya çıkan eşitsizliğin sona erdirilmesini ve 4001 sayılı Kanunun yürürlüğe girdiği 18.6.1994 tarihinden itibaren yoksun kaldığını iddia ettiği ödemelerin tarafına yapılmasını talep etmiş, bu talebinin cevap verilmeyerek zımnen reddedilmesi üzerine de bakılan davayı açmış bulunmaktadır.</w:t>
      </w:r>
    </w:p>
    <w:p w:rsidR="00AA502E" w:rsidRPr="00AA502E" w:rsidRDefault="00AA502E" w:rsidP="00AA502E">
      <w:pPr>
        <w:pStyle w:val="NormalWeb"/>
        <w:ind w:firstLine="709"/>
        <w:jc w:val="both"/>
        <w:rPr>
          <w:color w:val="000000"/>
          <w:szCs w:val="27"/>
        </w:rPr>
      </w:pPr>
      <w:r w:rsidRPr="00AA502E">
        <w:rPr>
          <w:color w:val="000000"/>
          <w:szCs w:val="27"/>
        </w:rPr>
        <w:t>Dava ve idarî başvuru dilekçeleri içeriğinden, davacının talebinin, 3717 sayılı Yasanın 2. maddesinin altıncı fıkrası uyarınca yol tazminatlarından adli yargı hakim ve savcıları ile adli yargıda görevli yazı işleri müdürü, zabıtkatibi, mübaşir, icra müdürü, icra müdür yardımcısı ile diğer personele ödenen kısımdan geriye kalan ve bir kamu bankasında açılan hesaba yatırıldıktan sonra Adalet Bakanlığı merkez hesabına gönderilenden arta kalanının, o yargı çevresindeki ceza infaz kurumu personeli hariç adli yargı hakim ve savcıları ile yukarıda belirtilen adli personele eşit miktarda verilmesi öngörülen ödemeden yararlandırılması olduğu anlaşılmaktadır.</w:t>
      </w:r>
    </w:p>
    <w:p w:rsidR="00AA502E" w:rsidRPr="00AA502E" w:rsidRDefault="00AA502E" w:rsidP="00AA502E">
      <w:pPr>
        <w:pStyle w:val="NormalWeb"/>
        <w:ind w:firstLine="709"/>
        <w:jc w:val="both"/>
        <w:rPr>
          <w:color w:val="000000"/>
          <w:szCs w:val="27"/>
        </w:rPr>
      </w:pPr>
      <w:r w:rsidRPr="00AA502E">
        <w:rPr>
          <w:color w:val="000000"/>
          <w:szCs w:val="27"/>
        </w:rPr>
        <w:t>Uygulanacak Kanun Hükmü:</w:t>
      </w:r>
    </w:p>
    <w:p w:rsidR="00AA502E" w:rsidRPr="00AA502E" w:rsidRDefault="00AA502E" w:rsidP="00AA502E">
      <w:pPr>
        <w:pStyle w:val="NormalWeb"/>
        <w:ind w:firstLine="709"/>
        <w:jc w:val="both"/>
        <w:rPr>
          <w:color w:val="000000"/>
          <w:szCs w:val="27"/>
        </w:rPr>
      </w:pPr>
      <w:r w:rsidRPr="00AA502E">
        <w:rPr>
          <w:color w:val="000000"/>
          <w:szCs w:val="27"/>
        </w:rPr>
        <w:t>8.5.1991 tarihli ve 3717 sayılı Adli Personel ile Devlet Davalarını Takip Edenlere Yol Gideri ve Tazminat Verilmesi ile 492 Sayılı Harçlar Kanununun Bir Maddesinin Yürürlükten Kaldırılması Hakkında Kanunun 2. maddesinin 449 sayılı KHK ile değişik altıncı fıkrası şöyledir:</w:t>
      </w:r>
    </w:p>
    <w:p w:rsidR="00AA502E" w:rsidRPr="00AA502E" w:rsidRDefault="00AA502E" w:rsidP="00AA502E">
      <w:pPr>
        <w:pStyle w:val="NormalWeb"/>
        <w:ind w:firstLine="709"/>
        <w:jc w:val="both"/>
        <w:rPr>
          <w:color w:val="000000"/>
          <w:szCs w:val="27"/>
        </w:rPr>
      </w:pPr>
      <w:r w:rsidRPr="00AA502E">
        <w:rPr>
          <w:color w:val="000000"/>
          <w:szCs w:val="27"/>
        </w:rPr>
        <w:t xml:space="preserve">'Birinci fıkrada sayılanlardan adli yargı hakim ve savcıları ile adli yargıda görevli yazı işleri müdürü, zabıt katibi, mübaşir, icra müdürü, icra müdür yardımcısı ile diğer personele tahakkuku müteakip yol tazminatının 1/2'si ödenir. Yol tazminatının kesilen 1/2'si o yerdeki bir kamu bankasında açılan bir hesaba yatırılır. Bu hesaba yatırılan paraların %10'u her ayın ilk </w:t>
      </w:r>
      <w:r w:rsidRPr="00AA502E">
        <w:rPr>
          <w:color w:val="000000"/>
          <w:szCs w:val="27"/>
        </w:rPr>
        <w:lastRenderedPageBreak/>
        <w:t>haftası içinde Ankara'da bir kamu bankasında açtırılan Adalet Bakanlığı merkez hesabına gönderilir. Mahalli hesapta toplanan paraların arta kalanı, o yargı çevresinde görevli adli yargı hakim ve savcıları ile adli yargıda görevli yazı işleri müdürü, zabıt katibi, mübaşir, icra müdürü, icra müdür yardımcısı ile diğer personeline (ceza infaz kurumu personeli hariç) ayda bir, eşit miktarda ödenir; ancak, bu ödemenin yıllık tutarı en yüksek Devlet memuru aylığının (ek gösterge dahil) yıllık tutarının yarısını geçemez.'</w:t>
      </w:r>
    </w:p>
    <w:p w:rsidR="00AA502E" w:rsidRPr="00AA502E" w:rsidRDefault="00AA502E" w:rsidP="00AA502E">
      <w:pPr>
        <w:pStyle w:val="NormalWeb"/>
        <w:ind w:firstLine="709"/>
        <w:jc w:val="both"/>
        <w:rPr>
          <w:color w:val="000000"/>
          <w:szCs w:val="27"/>
        </w:rPr>
      </w:pPr>
      <w:r w:rsidRPr="00AA502E">
        <w:rPr>
          <w:color w:val="000000"/>
          <w:szCs w:val="27"/>
        </w:rPr>
        <w:t>Anayasa'nın 10. Maddesine Aykırılık:</w:t>
      </w:r>
    </w:p>
    <w:p w:rsidR="00AA502E" w:rsidRPr="00AA502E" w:rsidRDefault="00AA502E" w:rsidP="00AA502E">
      <w:pPr>
        <w:pStyle w:val="NormalWeb"/>
        <w:ind w:firstLine="709"/>
        <w:jc w:val="both"/>
        <w:rPr>
          <w:color w:val="000000"/>
          <w:szCs w:val="27"/>
        </w:rPr>
      </w:pPr>
      <w:r w:rsidRPr="00AA502E">
        <w:rPr>
          <w:color w:val="000000"/>
          <w:szCs w:val="27"/>
        </w:rPr>
        <w:t>Anayasa'nın 10. maddesinde;</w:t>
      </w:r>
    </w:p>
    <w:p w:rsidR="00AA502E" w:rsidRPr="00AA502E" w:rsidRDefault="00AA502E" w:rsidP="00AA502E">
      <w:pPr>
        <w:pStyle w:val="NormalWeb"/>
        <w:ind w:firstLine="709"/>
        <w:jc w:val="both"/>
        <w:rPr>
          <w:color w:val="000000"/>
          <w:szCs w:val="27"/>
        </w:rPr>
      </w:pPr>
      <w:r w:rsidRPr="00AA502E">
        <w:rPr>
          <w:color w:val="000000"/>
          <w:szCs w:val="27"/>
        </w:rPr>
        <w:t>'Herkes, ırk, renk, cinsiyet siyasi düşünce, felsefi inanç, din, mezhep ve benzeri sebeplerle ayrım gözetilmeksizin kanun önünde eşittir.</w:t>
      </w:r>
    </w:p>
    <w:p w:rsidR="00AA502E" w:rsidRPr="00AA502E" w:rsidRDefault="00AA502E" w:rsidP="00AA502E">
      <w:pPr>
        <w:pStyle w:val="NormalWeb"/>
        <w:ind w:firstLine="709"/>
        <w:jc w:val="both"/>
        <w:rPr>
          <w:color w:val="000000"/>
          <w:szCs w:val="27"/>
        </w:rPr>
      </w:pPr>
      <w:r w:rsidRPr="00AA502E">
        <w:rPr>
          <w:color w:val="000000"/>
          <w:szCs w:val="27"/>
        </w:rPr>
        <w:t>Hiçbir kişiye, aileye, zümreye veya sınıfa imtiyaz tanınamaz.</w:t>
      </w:r>
    </w:p>
    <w:p w:rsidR="00AA502E" w:rsidRPr="00AA502E" w:rsidRDefault="00AA502E" w:rsidP="00AA502E">
      <w:pPr>
        <w:pStyle w:val="NormalWeb"/>
        <w:ind w:firstLine="709"/>
        <w:jc w:val="both"/>
        <w:rPr>
          <w:color w:val="000000"/>
          <w:szCs w:val="27"/>
        </w:rPr>
      </w:pPr>
      <w:r w:rsidRPr="00AA502E">
        <w:rPr>
          <w:color w:val="000000"/>
          <w:szCs w:val="27"/>
        </w:rPr>
        <w:t>Devlet organları ve idare makamları bütün işlemlerde kanun önünde eşitlik ilkesine uygun olarak hareket etmek zorundadırlar.' hükmü yer almaktadır.</w:t>
      </w:r>
    </w:p>
    <w:p w:rsidR="00AA502E" w:rsidRPr="00AA502E" w:rsidRDefault="00AA502E" w:rsidP="00AA502E">
      <w:pPr>
        <w:pStyle w:val="NormalWeb"/>
        <w:ind w:firstLine="709"/>
        <w:jc w:val="both"/>
        <w:rPr>
          <w:color w:val="000000"/>
          <w:szCs w:val="27"/>
        </w:rPr>
      </w:pPr>
      <w:r w:rsidRPr="00AA502E">
        <w:rPr>
          <w:color w:val="000000"/>
          <w:szCs w:val="27"/>
        </w:rPr>
        <w:t>Anayasa Mahkemesi kararlarında belirtildiği üzere, Anayasa'nın 10. maddesine göre yasaların uygulanmasında ayrım gözetilmeyecek ve eşitliğe yol açılmayacaktır. Maddede düzenlenen "Eşitlik" ilkesiyle, birbirlerinin aynı durumunda olanlara aynı kuralların uygulanması ve ayrıcalıklı kişi ve toplulukların yaratılması engellenmektedir. Yasa önünde eşitlik, herkesin her yönden aynı kurallara bağlı olacağı anlamına gelmez. Durum ve konumlarındaki özellikler, kimi kişiler ya da topluluklar için değişik kuralları ve değişik uygulamaları gerektirebilir. Aynı hukuksal durumlar aynı, ayrı hukuksal durumlar ayrı kurallara bağlı tutulursa Anayasa'da öngörülen eşitlik ilkesi zedelenmez.</w:t>
      </w:r>
    </w:p>
    <w:p w:rsidR="00AA502E" w:rsidRPr="00AA502E" w:rsidRDefault="00AA502E" w:rsidP="00AA502E">
      <w:pPr>
        <w:pStyle w:val="NormalWeb"/>
        <w:ind w:firstLine="709"/>
        <w:jc w:val="both"/>
        <w:rPr>
          <w:color w:val="000000"/>
          <w:szCs w:val="27"/>
        </w:rPr>
      </w:pPr>
      <w:r w:rsidRPr="00AA502E">
        <w:rPr>
          <w:color w:val="000000"/>
          <w:szCs w:val="27"/>
        </w:rPr>
        <w:t>Yine Anayasa Mahkemesi'nin çeşitli kararlarında eşitlik ilkesi, aynı durumda bulunanlar için haklarda ve ödevlerde, yasalarda ve yükümlülüklerde, yetkilerde ve sorumluluklarda, fırsatlarda, hizmetlerde eşitliğin sağlanmasını gerektiren eşit davranma ve ayrım yapmama ilkesi olarak yorumlanmıştır.</w:t>
      </w:r>
    </w:p>
    <w:p w:rsidR="00AA502E" w:rsidRPr="00AA502E" w:rsidRDefault="00AA502E" w:rsidP="00AA502E">
      <w:pPr>
        <w:pStyle w:val="NormalWeb"/>
        <w:ind w:firstLine="709"/>
        <w:jc w:val="both"/>
        <w:rPr>
          <w:color w:val="000000"/>
          <w:szCs w:val="27"/>
        </w:rPr>
      </w:pPr>
      <w:r w:rsidRPr="00AA502E">
        <w:rPr>
          <w:color w:val="000000"/>
          <w:szCs w:val="27"/>
        </w:rPr>
        <w:t>3717 sayılı Adli Personel ile Devlet Davalarını Takip Edenlere Yol Gideri ve Tazminat Verilmesi ile 492 Sayılı Harçlar Kanununun Bir Maddesinin Yürürlükten Kaldırılması Hakkında Kanunun 2. maddesinin altıncı fıkrası, yalnızca adli yargıda görevli yazı işleri müdürü, zabıt katibi, mübaşir, icra müdürü, icra müdür yardımcısı ile diğer personele (ceza infaz kurumları personeli hariç) yol tazminatından o yerde açtırılan hesapta toplanan paralardan ayda bir eşit miktarda ödeme yapılmasını öngörmekte, adli yargıda görevli personelle aynı konumda bulunan idarî yargı personeline fıkrada yer verilmemekte, 2577 sayılı İdari Yargılama Usulü Kanununun 4001 sayılı Kanunla değişik 59 uncu maddesinin 2 nci fıkrası ile, bölge idare, idare ve vergi mahkemelerinde görev yapan personelin yol giderleri ve tazminatları hakkında 3717 sayılı Yasa hükümlerinin uygulanacağının belirtilmiş olması da, uygulamanın, idarî yargıda görevli personele ödenen yol tazminatlarının ayrı bir hesapta toplanarak dağıtılması şeklinde olması nedeniyle itiraz konusu kuralda yer alan eksik düzenlemenin idarî yargıda görev yapan personel yönünden doğurduğu eşitsizliği gidermemektedir.</w:t>
      </w:r>
    </w:p>
    <w:p w:rsidR="00AA502E" w:rsidRPr="00AA502E" w:rsidRDefault="00AA502E" w:rsidP="00AA502E">
      <w:pPr>
        <w:pStyle w:val="NormalWeb"/>
        <w:ind w:firstLine="709"/>
        <w:jc w:val="both"/>
        <w:rPr>
          <w:color w:val="000000"/>
          <w:szCs w:val="27"/>
        </w:rPr>
      </w:pPr>
      <w:r w:rsidRPr="00AA502E">
        <w:rPr>
          <w:color w:val="000000"/>
          <w:szCs w:val="27"/>
        </w:rPr>
        <w:t xml:space="preserve">Gerçekten de, adliye mahkemelerinde açılan dava sayılarının çokluğu ve niteliği nedeniyle, özellikle davalara dayanak ve delil teşkil etmek üzere ilgililerce talep edilen tespitler dolayısıyla yapılan keşifler sonucunda, adli yargıda görev yapanlara dağıtılmak üzere yol gideri </w:t>
      </w:r>
      <w:r w:rsidRPr="00AA502E">
        <w:rPr>
          <w:color w:val="000000"/>
          <w:szCs w:val="27"/>
        </w:rPr>
        <w:lastRenderedPageBreak/>
        <w:t>ve tazminat hesaplarında fazla para birikmekte, buna karşılık, idarî yargıda genellikle idare mahkemelerinde ve çok az olmak üzere keşif yapılmakta, bunun doğal sonucu olarak da adli yargıdan ayrı tutulan idarî yargının yol gideri ve tazminatı hesabında adli yargı hesabına nazaran aynı düzeyde birikme gerçekleşmemektedir.</w:t>
      </w:r>
    </w:p>
    <w:p w:rsidR="00AA502E" w:rsidRPr="00AA502E" w:rsidRDefault="00AA502E" w:rsidP="00AA502E">
      <w:pPr>
        <w:pStyle w:val="NormalWeb"/>
        <w:ind w:firstLine="709"/>
        <w:jc w:val="both"/>
        <w:rPr>
          <w:color w:val="000000"/>
          <w:szCs w:val="27"/>
        </w:rPr>
      </w:pPr>
      <w:r w:rsidRPr="00AA502E">
        <w:rPr>
          <w:color w:val="000000"/>
          <w:szCs w:val="27"/>
        </w:rPr>
        <w:t>Adli ve idarî yargının farklı teşkilatlanmış olması nedeniyle bu durumun hakkaniyete uygun olduğu düşünülebilirse de; aynı durum ve aynı konumda olduğunda şüphe bulunmayan iki personel arasında birinciler lehine bir sonuç yaratan bu düzenlemenin, Anayasa'nın, özdeş nitelikte bulunan durumların yasal düzenlemelerle aynı işleme bağlı tutulmasını gerektiren 10. maddesine aykırı düştüğü kanaatine varılmaktadır.</w:t>
      </w:r>
    </w:p>
    <w:p w:rsidR="00AA502E" w:rsidRPr="00AA502E" w:rsidRDefault="00AA502E" w:rsidP="00AA502E">
      <w:pPr>
        <w:pStyle w:val="NormalWeb"/>
        <w:ind w:firstLine="709"/>
        <w:jc w:val="both"/>
        <w:rPr>
          <w:color w:val="000000"/>
          <w:szCs w:val="27"/>
        </w:rPr>
      </w:pPr>
      <w:r w:rsidRPr="00AA502E">
        <w:rPr>
          <w:color w:val="000000"/>
          <w:szCs w:val="27"/>
        </w:rPr>
        <w:t>Yasadaki bu eksik düzenleme, 2577 sayılı İdari Yargılama Usulü Kanununun 59/2. maddesinde 10.6.1994 tarihli ve 4001 sayılı Kanunla yapılan değişiklikle giderilmeye çalışılmış, değişiklik sonrasında 3717 sayılı Kanun uyarınca alınan yol tazminatlarının idarî yargıda görevli hakim ve savcılar ile diğer personel ve, Adalet Bakanlığı merkez teşkilatındaki personele ödenmek üzere ilgili hesaplara yatırılması, defter tutulmasına ilişkin usuli işlemler ve ödeme esasları Adalet Bakanlığının 11.10.1994 tarihli ve 69199 sayılı Genelgesi ile düzenlenmiş, anılan genelgenin dava konusu edilmesi üzerine Danıştay İdari Dava Daireleri Genel Kurulunun 10.3.1995 günlü ve 1995/86 sayılı kararıyla yürütmenin durdurulması üzerine 18.5.1995 günlü ve 34371 sayılı Genelge ile yürürlükten kaldırılmış, bu tarihten, yargı kararı uyarınca yeniden yürürlüğe konulduğu, 3.2.2003 tarihine kadar olan dönemde idarî yargıda görevli personelin 3717 sayılı Yasa hükümlerinden yararlandırılması, başka bir deyişle anılan yasanın idarî yargı açısından uygulanması mümkün olmamıştır.</w:t>
      </w:r>
    </w:p>
    <w:p w:rsidR="00AA502E" w:rsidRPr="00AA502E" w:rsidRDefault="00AA502E" w:rsidP="00AA502E">
      <w:pPr>
        <w:pStyle w:val="NormalWeb"/>
        <w:ind w:firstLine="709"/>
        <w:jc w:val="both"/>
        <w:rPr>
          <w:color w:val="000000"/>
          <w:szCs w:val="27"/>
        </w:rPr>
      </w:pPr>
      <w:r w:rsidRPr="00AA502E">
        <w:rPr>
          <w:color w:val="000000"/>
          <w:szCs w:val="27"/>
        </w:rPr>
        <w:t>Diğer taraftan, 3717 sayılı Yasanın itiraz konusu 2. maddesinin altıncı fıkrası, mahalli hesapta toplanan paraların adli yargı personeline ödenmesini keşfe bizzat katılmış olmak gibi bir koşula da bağlamamıştır. Fıkra hükmüne göre, ödemeden yararlanabilmek için adli yargıda görevli olmak yeterlidir. Dolayısıyla, Yasa ile amaçlananın adli yargı personeline kısmen de olsa parasal yönden katkı yapmak olduğu açıktır. Aynı durum, idarî yargı personeli açısından da geçerli olduğundan, yasa ile getirilen olanağın aynı konumdaki personele eşit bir biçimde sunulması Anayasa'nın 10. maddesi gereğidir. Yol gideri ve tazminatlarının bir kısmının Adalet Bakanlığı merkez teşkilatı personeline dağıtılması da varılan bu sonucu doğrulamaktadır.</w:t>
      </w:r>
    </w:p>
    <w:p w:rsidR="00AA502E" w:rsidRPr="00AA502E" w:rsidRDefault="00AA502E" w:rsidP="00AA502E">
      <w:pPr>
        <w:pStyle w:val="NormalWeb"/>
        <w:ind w:firstLine="709"/>
        <w:jc w:val="both"/>
        <w:rPr>
          <w:color w:val="000000"/>
          <w:szCs w:val="27"/>
        </w:rPr>
      </w:pPr>
      <w:r w:rsidRPr="00AA502E">
        <w:rPr>
          <w:color w:val="000000"/>
          <w:szCs w:val="27"/>
        </w:rPr>
        <w:t>Anayasa'nın 55. Maddesine Aykırılık:</w:t>
      </w:r>
    </w:p>
    <w:p w:rsidR="00AA502E" w:rsidRPr="00AA502E" w:rsidRDefault="00AA502E" w:rsidP="00AA502E">
      <w:pPr>
        <w:pStyle w:val="NormalWeb"/>
        <w:ind w:firstLine="709"/>
        <w:jc w:val="both"/>
        <w:rPr>
          <w:color w:val="000000"/>
          <w:szCs w:val="27"/>
        </w:rPr>
      </w:pPr>
      <w:r w:rsidRPr="00AA502E">
        <w:rPr>
          <w:color w:val="000000"/>
          <w:szCs w:val="27"/>
        </w:rPr>
        <w:t>Anayasa'nın 'Ücrette Adalet Sağlanması' başlıklı 55. maddesi şöyledir:</w:t>
      </w:r>
    </w:p>
    <w:p w:rsidR="00AA502E" w:rsidRPr="00AA502E" w:rsidRDefault="00AA502E" w:rsidP="00AA502E">
      <w:pPr>
        <w:pStyle w:val="NormalWeb"/>
        <w:ind w:firstLine="709"/>
        <w:jc w:val="both"/>
        <w:rPr>
          <w:color w:val="000000"/>
          <w:szCs w:val="27"/>
        </w:rPr>
      </w:pPr>
      <w:r w:rsidRPr="00AA502E">
        <w:rPr>
          <w:color w:val="000000"/>
          <w:szCs w:val="27"/>
        </w:rPr>
        <w:t>'Ücret emeğin karşılığıdır.</w:t>
      </w:r>
    </w:p>
    <w:p w:rsidR="00AA502E" w:rsidRPr="00AA502E" w:rsidRDefault="00AA502E" w:rsidP="00AA502E">
      <w:pPr>
        <w:pStyle w:val="NormalWeb"/>
        <w:ind w:firstLine="709"/>
        <w:jc w:val="both"/>
        <w:rPr>
          <w:color w:val="000000"/>
          <w:szCs w:val="27"/>
        </w:rPr>
      </w:pPr>
      <w:r w:rsidRPr="00AA502E">
        <w:rPr>
          <w:color w:val="000000"/>
          <w:szCs w:val="27"/>
        </w:rPr>
        <w:t>Devlet, çalışanların yaptıkları işe uygun adaletli bir ücret elde etmeleri ve diğer sosyal yardımlardan yararlanmaları için gerekli tedbirleri alır.</w:t>
      </w:r>
    </w:p>
    <w:p w:rsidR="00AA502E" w:rsidRPr="00AA502E" w:rsidRDefault="00AA502E" w:rsidP="00AA502E">
      <w:pPr>
        <w:pStyle w:val="NormalWeb"/>
        <w:ind w:firstLine="709"/>
        <w:jc w:val="both"/>
        <w:rPr>
          <w:color w:val="000000"/>
          <w:szCs w:val="27"/>
        </w:rPr>
      </w:pPr>
      <w:r w:rsidRPr="00AA502E">
        <w:rPr>
          <w:color w:val="000000"/>
          <w:szCs w:val="27"/>
        </w:rPr>
        <w:t>Asgari ücretin tespitinde ülkenin ekonomik ve sosyal durumu gözönünde bulundurulur.'</w:t>
      </w:r>
    </w:p>
    <w:p w:rsidR="00AA502E" w:rsidRPr="00AA502E" w:rsidRDefault="00AA502E" w:rsidP="00AA502E">
      <w:pPr>
        <w:pStyle w:val="NormalWeb"/>
        <w:ind w:firstLine="709"/>
        <w:jc w:val="both"/>
        <w:rPr>
          <w:color w:val="000000"/>
          <w:szCs w:val="27"/>
        </w:rPr>
      </w:pPr>
      <w:r w:rsidRPr="00AA502E">
        <w:rPr>
          <w:color w:val="000000"/>
          <w:szCs w:val="27"/>
        </w:rPr>
        <w:t>Bilindiği üzere, kamu görevlilerinin 657 sayılı Yasa ve özel mevzuatlarla düzenlenen mali hakları aylık, ücret, ödenek, hizmetle ilgili çeşitli ödemeler, zam ve tazminatlar, ek gösterge gibi çeşitli unsurlardan oluşmaktadır.</w:t>
      </w:r>
    </w:p>
    <w:p w:rsidR="00AA502E" w:rsidRPr="00AA502E" w:rsidRDefault="00AA502E" w:rsidP="00AA502E">
      <w:pPr>
        <w:pStyle w:val="NormalWeb"/>
        <w:ind w:firstLine="709"/>
        <w:jc w:val="both"/>
        <w:rPr>
          <w:color w:val="000000"/>
          <w:szCs w:val="27"/>
        </w:rPr>
      </w:pPr>
      <w:r w:rsidRPr="00AA502E">
        <w:rPr>
          <w:color w:val="000000"/>
          <w:szCs w:val="27"/>
        </w:rPr>
        <w:t xml:space="preserve">3717 sayılı Yasanın itiraz konusu 2. maddesinin altıncı fıkrası ile öngörülen, yargı personelinin mali hakları kapsamında nitelendirilebilecek ödemelerin derece, kademe, eğitim, </w:t>
      </w:r>
      <w:r w:rsidRPr="00AA502E">
        <w:rPr>
          <w:color w:val="000000"/>
          <w:szCs w:val="27"/>
        </w:rPr>
        <w:lastRenderedPageBreak/>
        <w:t>unvan, yetki ve sorumluluk bakımlarından eşit durumda bulunan personelin sadece farklı yargı düzenleri içerisinde bulunmalarından dolayı adli ve idarî yargı personeline eşit bir şekilde dağıtılması, Anayasa'nın ücrette adalet sağlanmasını öngören 55. maddesi hükmüne de aykırı bulunmaktadır.</w:t>
      </w:r>
    </w:p>
    <w:p w:rsidR="00AA502E" w:rsidRPr="00AA502E" w:rsidRDefault="00AA502E" w:rsidP="00AA502E">
      <w:pPr>
        <w:pStyle w:val="NormalWeb"/>
        <w:ind w:firstLine="709"/>
        <w:jc w:val="both"/>
        <w:rPr>
          <w:color w:val="000000"/>
          <w:szCs w:val="27"/>
        </w:rPr>
      </w:pPr>
      <w:r w:rsidRPr="00AA502E">
        <w:rPr>
          <w:color w:val="000000"/>
          <w:szCs w:val="27"/>
        </w:rPr>
        <w:t>Sonuç olarak, 3717 sayılı Yasa'nın 2. maddesinin davada uygulanacak kural niteliğinde olan ve adli ve idarî yargı ayrımının doğal bir sonucu olarak da görülmeyen, 449 sayılı KHK ile değişik altıncı fıkrasının, Anayasa'nın eşitlik ilkesini düzenleyen 10. maddesi ile, ücrette adaletin sağlanmasına ilişkin 55. maddesine aykırı olduğu ve bu nedenle iptalinin uygun olacağı sonucuna varılmaktadır.</w:t>
      </w:r>
    </w:p>
    <w:p w:rsidR="00AA502E" w:rsidRPr="00AA502E" w:rsidRDefault="00AA502E" w:rsidP="00AA502E">
      <w:pPr>
        <w:pStyle w:val="NormalWeb"/>
        <w:ind w:firstLine="709"/>
        <w:jc w:val="both"/>
        <w:rPr>
          <w:color w:val="000000"/>
          <w:szCs w:val="27"/>
        </w:rPr>
      </w:pPr>
      <w:r w:rsidRPr="00AA502E">
        <w:rPr>
          <w:color w:val="000000"/>
          <w:szCs w:val="27"/>
        </w:rPr>
        <w:t>Açıklanan nedenlerle, Anayasa'nın 152. maddesinin 1. fıkrası ile 2949 sayılı Kanunun 28. maddesinin 2. fıkrası gereğince, 3717 sayılı Kanunun 2. maddesinin 449 sayılı Kanun Hükmünde Kararname ile değişik altıncı fıkrasının iptali için Anayasa Mahkemesi'ne başvurulmasına, dosyada bulunan belgelerin onaylı birer örneğinin Anayasa Mahkemesi Başkanlığına gönderilmesine, Anayasa Mahkemesi'nin bu konuda vereceği karara kadar davanın geri bırakılmasına, 16.4.2003 gününde oybirliğiyle karar verildi."</w:t>
      </w:r>
      <w:r w:rsidRPr="00AA502E">
        <w:rPr>
          <w:color w:val="000000"/>
          <w:szCs w:val="27"/>
        </w:rPr>
        <w:t>"</w:t>
      </w:r>
    </w:p>
    <w:p w:rsidR="00CE1FB9" w:rsidRPr="00AA502E" w:rsidRDefault="00CE1FB9" w:rsidP="00AA502E">
      <w:pPr>
        <w:spacing w:before="100" w:beforeAutospacing="1" w:after="100" w:afterAutospacing="1" w:line="240" w:lineRule="auto"/>
        <w:ind w:firstLine="709"/>
        <w:jc w:val="both"/>
        <w:rPr>
          <w:rFonts w:ascii="Times New Roman" w:hAnsi="Times New Roman" w:cs="Times New Roman"/>
          <w:sz w:val="24"/>
        </w:rPr>
      </w:pPr>
    </w:p>
    <w:sectPr w:rsidR="00CE1FB9" w:rsidRPr="00AA502E">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0C87" w:rsidRDefault="00AF0C87" w:rsidP="00AA502E">
      <w:pPr>
        <w:spacing w:after="0" w:line="240" w:lineRule="auto"/>
      </w:pPr>
      <w:r>
        <w:separator/>
      </w:r>
    </w:p>
  </w:endnote>
  <w:endnote w:type="continuationSeparator" w:id="0">
    <w:p w:rsidR="00AF0C87" w:rsidRDefault="00AF0C87" w:rsidP="00AA50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2E" w:rsidRDefault="00AA502E" w:rsidP="0019367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AA502E" w:rsidRDefault="00AA502E" w:rsidP="00AA502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2E" w:rsidRPr="00AA502E" w:rsidRDefault="00AA502E" w:rsidP="00193675">
    <w:pPr>
      <w:pStyle w:val="Altbilgi"/>
      <w:framePr w:wrap="around" w:vAnchor="text" w:hAnchor="margin" w:xAlign="right" w:y="1"/>
      <w:rPr>
        <w:rStyle w:val="SayfaNumaras"/>
        <w:rFonts w:ascii="Times New Roman" w:hAnsi="Times New Roman" w:cs="Times New Roman"/>
      </w:rPr>
    </w:pPr>
    <w:r w:rsidRPr="00AA502E">
      <w:rPr>
        <w:rStyle w:val="SayfaNumaras"/>
        <w:rFonts w:ascii="Times New Roman" w:hAnsi="Times New Roman" w:cs="Times New Roman"/>
      </w:rPr>
      <w:fldChar w:fldCharType="begin"/>
    </w:r>
    <w:r w:rsidRPr="00AA502E">
      <w:rPr>
        <w:rStyle w:val="SayfaNumaras"/>
        <w:rFonts w:ascii="Times New Roman" w:hAnsi="Times New Roman" w:cs="Times New Roman"/>
      </w:rPr>
      <w:instrText xml:space="preserve">PAGE  </w:instrText>
    </w:r>
    <w:r w:rsidRPr="00AA502E">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AA502E">
      <w:rPr>
        <w:rStyle w:val="SayfaNumaras"/>
        <w:rFonts w:ascii="Times New Roman" w:hAnsi="Times New Roman" w:cs="Times New Roman"/>
      </w:rPr>
      <w:fldChar w:fldCharType="end"/>
    </w:r>
  </w:p>
  <w:p w:rsidR="00AA502E" w:rsidRPr="00AA502E" w:rsidRDefault="00AA502E" w:rsidP="00AA502E">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0C87" w:rsidRDefault="00AF0C87" w:rsidP="00AA502E">
      <w:pPr>
        <w:spacing w:after="0" w:line="240" w:lineRule="auto"/>
      </w:pPr>
      <w:r>
        <w:separator/>
      </w:r>
    </w:p>
  </w:footnote>
  <w:footnote w:type="continuationSeparator" w:id="0">
    <w:p w:rsidR="00AF0C87" w:rsidRDefault="00AF0C87" w:rsidP="00AA502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02E" w:rsidRPr="00386D3D" w:rsidRDefault="00AA502E" w:rsidP="00AA502E">
    <w:pPr>
      <w:spacing w:after="0" w:line="240" w:lineRule="auto"/>
      <w:jc w:val="both"/>
      <w:rPr>
        <w:rFonts w:ascii="Times New Roman" w:eastAsia="Times New Roman" w:hAnsi="Times New Roman" w:cs="Times New Roman"/>
        <w:b/>
        <w:color w:val="000000"/>
        <w:sz w:val="24"/>
        <w:szCs w:val="27"/>
        <w:lang w:eastAsia="tr-TR"/>
      </w:rPr>
    </w:pPr>
    <w:r w:rsidRPr="00386D3D">
      <w:rPr>
        <w:rFonts w:ascii="Times New Roman" w:eastAsia="Times New Roman" w:hAnsi="Times New Roman" w:cs="Times New Roman"/>
        <w:b/>
        <w:bCs/>
        <w:color w:val="000000"/>
        <w:sz w:val="24"/>
        <w:szCs w:val="27"/>
        <w:lang w:eastAsia="tr-TR"/>
      </w:rPr>
      <w:t>Esas Sayısı : 2003/37</w:t>
    </w:r>
  </w:p>
  <w:p w:rsidR="00AA502E" w:rsidRPr="00386D3D" w:rsidRDefault="00AA502E" w:rsidP="00AA502E">
    <w:pPr>
      <w:spacing w:after="0" w:line="240" w:lineRule="auto"/>
      <w:jc w:val="both"/>
      <w:rPr>
        <w:rFonts w:ascii="Times New Roman" w:eastAsia="Times New Roman" w:hAnsi="Times New Roman" w:cs="Times New Roman"/>
        <w:b/>
        <w:color w:val="000000"/>
        <w:sz w:val="24"/>
        <w:szCs w:val="27"/>
        <w:lang w:eastAsia="tr-TR"/>
      </w:rPr>
    </w:pPr>
    <w:r w:rsidRPr="00386D3D">
      <w:rPr>
        <w:rFonts w:ascii="Times New Roman" w:eastAsia="Times New Roman" w:hAnsi="Times New Roman" w:cs="Times New Roman"/>
        <w:b/>
        <w:bCs/>
        <w:color w:val="000000"/>
        <w:sz w:val="24"/>
        <w:szCs w:val="27"/>
        <w:lang w:eastAsia="tr-TR"/>
      </w:rPr>
      <w:t>Karar Sayısı : 2003/41</w:t>
    </w:r>
  </w:p>
  <w:p w:rsidR="00AA502E" w:rsidRPr="00AA502E" w:rsidRDefault="00AA502E" w:rsidP="00AA502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02E"/>
    <w:rsid w:val="00AA502E"/>
    <w:rsid w:val="00AF0C87"/>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93C99D3-8CF5-4DA2-84B3-80CE84057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AA502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AA502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AA502E"/>
  </w:style>
  <w:style w:type="paragraph" w:styleId="Altbilgi">
    <w:name w:val="footer"/>
    <w:basedOn w:val="Normal"/>
    <w:link w:val="AltbilgiChar"/>
    <w:uiPriority w:val="99"/>
    <w:unhideWhenUsed/>
    <w:rsid w:val="00AA502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AA502E"/>
  </w:style>
  <w:style w:type="character" w:styleId="SayfaNumaras">
    <w:name w:val="page number"/>
    <w:basedOn w:val="VarsaylanParagrafYazTipi"/>
    <w:uiPriority w:val="99"/>
    <w:semiHidden/>
    <w:unhideWhenUsed/>
    <w:rsid w:val="00AA50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2143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1657</Words>
  <Characters>9445</Characters>
  <Application>Microsoft Office Word</Application>
  <DocSecurity>0</DocSecurity>
  <Lines>78</Lines>
  <Paragraphs>22</Paragraphs>
  <ScaleCrop>false</ScaleCrop>
  <Company/>
  <LinksUpToDate>false</LinksUpToDate>
  <CharactersWithSpaces>11080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2019-01-15T10:52:00Z</dcterms:created>
  <dcterms:modified xsi:type="dcterms:W3CDTF">2019-01-15T10:52:00Z</dcterms:modified>
</cp:coreProperties>
</file>