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6D2" w:rsidRPr="006166D2" w:rsidRDefault="006166D2" w:rsidP="006166D2">
      <w:pPr>
        <w:pStyle w:val="NormalWeb"/>
        <w:ind w:firstLine="709"/>
        <w:jc w:val="both"/>
        <w:rPr>
          <w:b/>
          <w:bCs/>
          <w:color w:val="000000"/>
          <w:szCs w:val="27"/>
        </w:rPr>
      </w:pPr>
      <w:r w:rsidRPr="006166D2">
        <w:rPr>
          <w:b/>
          <w:bCs/>
          <w:color w:val="000000"/>
          <w:szCs w:val="27"/>
        </w:rPr>
        <w:t>"...</w:t>
      </w:r>
    </w:p>
    <w:p w:rsidR="006166D2" w:rsidRDefault="006166D2" w:rsidP="006166D2">
      <w:pPr>
        <w:pStyle w:val="NormalWeb"/>
        <w:ind w:firstLine="709"/>
        <w:jc w:val="both"/>
        <w:rPr>
          <w:color w:val="000000"/>
          <w:szCs w:val="27"/>
        </w:rPr>
      </w:pPr>
      <w:r w:rsidRPr="006166D2">
        <w:rPr>
          <w:b/>
          <w:bCs/>
          <w:color w:val="000000"/>
          <w:szCs w:val="27"/>
        </w:rPr>
        <w:t>II- İTİRAZIN GEREKÇESİ</w:t>
      </w:r>
      <w:bookmarkStart w:id="0" w:name="_GoBack"/>
      <w:bookmarkEnd w:id="0"/>
    </w:p>
    <w:p w:rsidR="006166D2" w:rsidRDefault="006166D2" w:rsidP="006166D2">
      <w:pPr>
        <w:pStyle w:val="NormalWeb"/>
        <w:ind w:firstLine="709"/>
        <w:jc w:val="both"/>
        <w:rPr>
          <w:color w:val="000000"/>
          <w:szCs w:val="27"/>
        </w:rPr>
      </w:pPr>
      <w:r w:rsidRPr="006166D2">
        <w:rPr>
          <w:color w:val="000000"/>
          <w:szCs w:val="27"/>
        </w:rPr>
        <w:t>Başvuru kararının gerekçe bölümü şöyledir:</w:t>
      </w:r>
    </w:p>
    <w:p w:rsidR="006166D2" w:rsidRDefault="006166D2" w:rsidP="006166D2">
      <w:pPr>
        <w:pStyle w:val="NormalWeb"/>
        <w:ind w:firstLine="709"/>
        <w:jc w:val="both"/>
        <w:rPr>
          <w:color w:val="000000"/>
          <w:szCs w:val="27"/>
        </w:rPr>
      </w:pPr>
      <w:r w:rsidRPr="006166D2">
        <w:rPr>
          <w:color w:val="000000"/>
          <w:szCs w:val="27"/>
        </w:rPr>
        <w:t>"Savunma hakkı, Anayasa'nın "Kişinin Hakları ve Ödevleri"ni belirleyen ikinci bölümde yer alan, temel haklardandır. Hukuk öğretisinde olduğu kadar uygulamada da önemi ve erdemi tartışılmaz yüceliktedir. Evrensel konumu nedeniyle, insanlığın ortak değerlerinden sayılmaktadır. Felsefi ve hukuksal nitelikleri ve içerikleriyle adalet kavramı ve yargılama işlevi, birbirini tamamlayan, birbirinden ayrılmaz iddia, savunma, karar üçlüsünden oluşan yargı ile yaşama geçmektedir.</w:t>
      </w:r>
    </w:p>
    <w:p w:rsidR="006166D2" w:rsidRDefault="006166D2" w:rsidP="006166D2">
      <w:pPr>
        <w:pStyle w:val="NormalWeb"/>
        <w:ind w:firstLine="709"/>
        <w:jc w:val="both"/>
        <w:rPr>
          <w:color w:val="000000"/>
          <w:szCs w:val="27"/>
        </w:rPr>
      </w:pPr>
      <w:r w:rsidRPr="006166D2">
        <w:rPr>
          <w:color w:val="000000"/>
          <w:szCs w:val="27"/>
        </w:rPr>
        <w:t>Yargılama süresince, savunma hakkının sanık için yararı ve gereği tartışma götürmez. Ceza usulü hukuku öğretisinde de sık sık vurgulandığı üzere, her sanık mutlaka suçlu değildir. Suçlu olmayanlar da sanık durumuna düşebilirler. Sanık, suçlu olduğu henüz bilinmeyen, fakat suçlu olduğu "sanılan", yoğun kuşku altında bulunan kimsedir. Bu kuşkunun giderilmesi ve sanığın suçlu da olsa, yasada gösterilenden fazla cezalandırılmaması gerekir. Bu nedenle de savunma, hak arama özgürlüğünün ve adil yargılamanın vazgeçilmez bir koşuludur.</w:t>
      </w:r>
    </w:p>
    <w:p w:rsidR="006166D2" w:rsidRDefault="006166D2" w:rsidP="006166D2">
      <w:pPr>
        <w:pStyle w:val="NormalWeb"/>
        <w:ind w:firstLine="709"/>
        <w:jc w:val="both"/>
        <w:rPr>
          <w:color w:val="000000"/>
          <w:szCs w:val="27"/>
        </w:rPr>
      </w:pPr>
      <w:r w:rsidRPr="006166D2">
        <w:rPr>
          <w:color w:val="000000"/>
          <w:szCs w:val="27"/>
        </w:rPr>
        <w:t>Savunmanın tam olarak yapılmasında kamu yararı da vardır. Gerçekten savunma, sonuçta kararın doğru olarak verilmesini sağlar. Bu da ceza adaletinin hakkıyla gerçekleşmesine yardımcı olur. Adaletin devletin temeli olduğunu bir kez daha doğrular.</w:t>
      </w:r>
    </w:p>
    <w:p w:rsidR="006166D2" w:rsidRDefault="006166D2" w:rsidP="006166D2">
      <w:pPr>
        <w:pStyle w:val="NormalWeb"/>
        <w:ind w:firstLine="709"/>
        <w:jc w:val="both"/>
        <w:rPr>
          <w:color w:val="000000"/>
          <w:szCs w:val="27"/>
        </w:rPr>
      </w:pPr>
      <w:r w:rsidRPr="006166D2">
        <w:rPr>
          <w:color w:val="000000"/>
          <w:szCs w:val="27"/>
        </w:rPr>
        <w:t>Avrupa İnsan Haklarını ve Ana Hürriyetleri Korumaya Dair Sözleşme'nin, savunma hakkının önemini ve gereğini vurgulayan 6. maddesinin üçüncü bendinde:</w:t>
      </w:r>
    </w:p>
    <w:p w:rsidR="006166D2" w:rsidRDefault="006166D2" w:rsidP="006166D2">
      <w:pPr>
        <w:pStyle w:val="NormalWeb"/>
        <w:ind w:firstLine="709"/>
        <w:jc w:val="both"/>
        <w:rPr>
          <w:color w:val="000000"/>
          <w:szCs w:val="27"/>
        </w:rPr>
      </w:pPr>
      <w:r w:rsidRPr="006166D2">
        <w:rPr>
          <w:color w:val="000000"/>
          <w:szCs w:val="27"/>
        </w:rPr>
        <w:t>Her sanık ezcümle:</w:t>
      </w:r>
    </w:p>
    <w:p w:rsidR="006166D2" w:rsidRPr="006166D2" w:rsidRDefault="006166D2" w:rsidP="006166D2">
      <w:pPr>
        <w:pStyle w:val="NormalWeb"/>
        <w:ind w:firstLine="709"/>
        <w:jc w:val="both"/>
        <w:rPr>
          <w:color w:val="000000"/>
          <w:szCs w:val="27"/>
        </w:rPr>
      </w:pPr>
      <w:r w:rsidRPr="006166D2">
        <w:rPr>
          <w:color w:val="000000"/>
          <w:szCs w:val="27"/>
        </w:rPr>
        <w:t>a) Şahsına tevcih edilen isnadın mahiyet ve sebebinden en kısa zamanda, anladığı bir dille ve etraflı surette haberdar edilmek,</w:t>
      </w:r>
    </w:p>
    <w:p w:rsidR="006166D2" w:rsidRDefault="006166D2" w:rsidP="006166D2">
      <w:pPr>
        <w:pStyle w:val="NormalWeb"/>
        <w:ind w:firstLine="709"/>
        <w:jc w:val="both"/>
        <w:rPr>
          <w:color w:val="000000"/>
          <w:szCs w:val="27"/>
        </w:rPr>
      </w:pPr>
      <w:r w:rsidRPr="006166D2">
        <w:rPr>
          <w:color w:val="000000"/>
          <w:szCs w:val="27"/>
        </w:rPr>
        <w:t>b) Müdafaasını hazırlamak için gerekli zamana ve kolaylıklara malik olmak,</w:t>
      </w:r>
    </w:p>
    <w:p w:rsidR="006166D2" w:rsidRDefault="006166D2" w:rsidP="006166D2">
      <w:pPr>
        <w:pStyle w:val="NormalWeb"/>
        <w:ind w:firstLine="709"/>
        <w:jc w:val="both"/>
        <w:rPr>
          <w:color w:val="000000"/>
          <w:szCs w:val="27"/>
        </w:rPr>
      </w:pPr>
      <w:r w:rsidRPr="006166D2">
        <w:rPr>
          <w:color w:val="000000"/>
          <w:szCs w:val="27"/>
        </w:rPr>
        <w:t>c) Kendi kendini müdafaa etmek veya kendi seçeceği bir müdafii veya eğer bir müdafii tayin için mali imkanlardan mahrum bulunuyor ve adaletin selameti gerektiriyorsa, mahkeme tarafından tayin edilecek bir avukatın meccani yardımından istifade etmek,</w:t>
      </w:r>
    </w:p>
    <w:p w:rsidR="006166D2" w:rsidRDefault="006166D2" w:rsidP="006166D2">
      <w:pPr>
        <w:pStyle w:val="NormalWeb"/>
        <w:ind w:firstLine="709"/>
        <w:jc w:val="both"/>
        <w:rPr>
          <w:color w:val="000000"/>
          <w:szCs w:val="27"/>
        </w:rPr>
      </w:pPr>
      <w:r w:rsidRPr="006166D2">
        <w:rPr>
          <w:color w:val="000000"/>
          <w:szCs w:val="27"/>
        </w:rPr>
        <w:t>d) İddia şahitlerini sorguya çekmek veya çektirmek, müdafaa şahitlerinin de iddia şahitleriyle aynı şartlar altında davet edilmesini ve dinlenmesinin sağlanmasını istemek,</w:t>
      </w:r>
    </w:p>
    <w:p w:rsidR="006166D2" w:rsidRPr="006166D2" w:rsidRDefault="006166D2" w:rsidP="006166D2">
      <w:pPr>
        <w:pStyle w:val="NormalWeb"/>
        <w:ind w:firstLine="709"/>
        <w:jc w:val="both"/>
        <w:rPr>
          <w:color w:val="000000"/>
          <w:szCs w:val="27"/>
        </w:rPr>
      </w:pPr>
      <w:r w:rsidRPr="006166D2">
        <w:rPr>
          <w:color w:val="000000"/>
          <w:szCs w:val="27"/>
        </w:rPr>
        <w:t>e) Duruşmada kullanılan dili anlamadığı veya konuşamadığı takdirde bir tercümanın yardımından meccanen faydalanmak,</w:t>
      </w:r>
    </w:p>
    <w:p w:rsidR="006166D2" w:rsidRDefault="006166D2" w:rsidP="006166D2">
      <w:pPr>
        <w:pStyle w:val="NormalWeb"/>
        <w:ind w:firstLine="709"/>
        <w:jc w:val="both"/>
        <w:rPr>
          <w:color w:val="000000"/>
          <w:szCs w:val="27"/>
        </w:rPr>
      </w:pPr>
      <w:r w:rsidRPr="006166D2">
        <w:rPr>
          <w:color w:val="000000"/>
          <w:szCs w:val="27"/>
        </w:rPr>
        <w:t>haklarına sahiptir" denilmektedir. Buna göre, her sanık kendisine yönelik isnadın nedeni ve niteliğinden en kısa zamanda, anladığı bir dille ve ayrıntılı olarak haberdar edilmek hakkına sahiptir. Olayı, isnadın nedenini, olayı ve hukuki niteliğini bilmeyen sanığın kendisini yeterince savunamayacağı açıktır. Bu husus, savunma hakkının temelini oluşturur.</w:t>
      </w:r>
    </w:p>
    <w:p w:rsidR="006166D2" w:rsidRDefault="006166D2" w:rsidP="006166D2">
      <w:pPr>
        <w:pStyle w:val="NormalWeb"/>
        <w:ind w:firstLine="709"/>
        <w:jc w:val="both"/>
        <w:rPr>
          <w:color w:val="000000"/>
          <w:szCs w:val="27"/>
        </w:rPr>
      </w:pPr>
      <w:r w:rsidRPr="006166D2">
        <w:rPr>
          <w:color w:val="000000"/>
          <w:szCs w:val="27"/>
        </w:rPr>
        <w:lastRenderedPageBreak/>
        <w:t>Yargılama hukukunda amaç, gerçeğin araştırılması, insanlık onuruna saygı gösterilmesi ve masumların cezalandırılmasının önlenmesidir.</w:t>
      </w:r>
    </w:p>
    <w:p w:rsidR="006166D2" w:rsidRDefault="006166D2" w:rsidP="006166D2">
      <w:pPr>
        <w:pStyle w:val="NormalWeb"/>
        <w:ind w:firstLine="709"/>
        <w:jc w:val="both"/>
        <w:rPr>
          <w:color w:val="000000"/>
          <w:szCs w:val="27"/>
        </w:rPr>
      </w:pPr>
      <w:r w:rsidRPr="006166D2">
        <w:rPr>
          <w:color w:val="000000"/>
          <w:szCs w:val="27"/>
        </w:rPr>
        <w:t>Sav ve savunma hakkının her türlü etkiden uzak kullanılması asıldır. Buna göre yargı yerlerinde, tarafların sav ve savunmalarını özgürce yapmalarının sağlanması gerekir. Anayasa'nın öngördüğü "meşru vasıta ve yollardan faydalanmak" ancak böylece gerçekleşebilir.</w:t>
      </w:r>
    </w:p>
    <w:p w:rsidR="006166D2" w:rsidRDefault="006166D2" w:rsidP="006166D2">
      <w:pPr>
        <w:pStyle w:val="NormalWeb"/>
        <w:ind w:firstLine="709"/>
        <w:jc w:val="both"/>
        <w:rPr>
          <w:color w:val="000000"/>
          <w:szCs w:val="27"/>
        </w:rPr>
      </w:pPr>
      <w:r w:rsidRPr="006166D2">
        <w:rPr>
          <w:color w:val="000000"/>
          <w:szCs w:val="27"/>
        </w:rPr>
        <w:t>Öte yandan; Anayasa'nın 36. maddesinde özel sınırlama nedenleri öngörülmemiş olması savunma hakkına hiçbir sınırlama konulamayacağı anlamına gelmez. Kişinin temel haklarından olan bu hak da diğer hak ve özgürlükler gibi ancak</w:t>
      </w:r>
      <w:r w:rsidRPr="006166D2">
        <w:rPr>
          <w:color w:val="000000"/>
          <w:szCs w:val="27"/>
          <w:vertAlign w:val="subscript"/>
        </w:rPr>
        <w:t> </w:t>
      </w:r>
      <w:r w:rsidRPr="006166D2">
        <w:rPr>
          <w:color w:val="000000"/>
          <w:szCs w:val="27"/>
        </w:rPr>
        <w:t>Anayasa'nın 13. maddesinde yazılı nedenlerle sınırlanabilir.</w:t>
      </w:r>
    </w:p>
    <w:p w:rsidR="006166D2" w:rsidRDefault="006166D2" w:rsidP="006166D2">
      <w:pPr>
        <w:pStyle w:val="NormalWeb"/>
        <w:ind w:firstLine="709"/>
        <w:jc w:val="both"/>
        <w:rPr>
          <w:color w:val="000000"/>
          <w:szCs w:val="27"/>
        </w:rPr>
      </w:pPr>
      <w:r w:rsidRPr="006166D2">
        <w:rPr>
          <w:color w:val="000000"/>
          <w:szCs w:val="27"/>
        </w:rPr>
        <w:t>Anayasa'nın 13. maddesinde,</w:t>
      </w:r>
      <w:r w:rsidRPr="006166D2">
        <w:rPr>
          <w:color w:val="000000"/>
          <w:szCs w:val="27"/>
          <w:vertAlign w:val="superscript"/>
        </w:rPr>
        <w:t> "</w:t>
      </w:r>
      <w:r w:rsidRPr="006166D2">
        <w:rPr>
          <w:color w:val="000000"/>
          <w:szCs w:val="27"/>
        </w:rPr>
        <w:t>Temel hak ve hürriyetler, Devletin ülkesi ve milleti ile bölünmez bütünlüğünün, milli egemenliğin, Cumhuriyetin, milli güvenliğin kamu düzeninin, genel asayişin, kamu yararının, genel ahlakın ve genel sağlığın korunması amacı ile ve ayrıca Anayasa'nın ilgili maddelerinde öngörülen özel sebeplerle, Anayasa'nın sözüne ve ruhuna uygun olarak kanunla sınırlanabilir.</w:t>
      </w:r>
    </w:p>
    <w:p w:rsidR="006166D2" w:rsidRDefault="006166D2" w:rsidP="006166D2">
      <w:pPr>
        <w:pStyle w:val="NormalWeb"/>
        <w:ind w:firstLine="709"/>
        <w:jc w:val="both"/>
        <w:rPr>
          <w:color w:val="000000"/>
          <w:szCs w:val="27"/>
        </w:rPr>
      </w:pPr>
      <w:r w:rsidRPr="006166D2">
        <w:rPr>
          <w:color w:val="000000"/>
          <w:szCs w:val="27"/>
        </w:rPr>
        <w:t>Temel hak ve hürriyetlerle ilgili genel ve özel sınırlamalar demokratik toplum düzeninin gereklerine aykırı olamaz ve öngörüldükleri amaç dışında kullanılamaz.</w:t>
      </w:r>
    </w:p>
    <w:p w:rsidR="006166D2" w:rsidRPr="006166D2" w:rsidRDefault="006166D2" w:rsidP="006166D2">
      <w:pPr>
        <w:pStyle w:val="NormalWeb"/>
        <w:ind w:firstLine="709"/>
        <w:jc w:val="both"/>
        <w:rPr>
          <w:color w:val="000000"/>
          <w:szCs w:val="27"/>
        </w:rPr>
      </w:pPr>
      <w:r w:rsidRPr="006166D2">
        <w:rPr>
          <w:color w:val="000000"/>
          <w:szCs w:val="27"/>
        </w:rPr>
        <w:t>Bu maddede yer alan genel sınırlama sebepleri temel hak ve hürriyetlerin tümü için geçerlidir," denilmektedir.</w:t>
      </w:r>
    </w:p>
    <w:p w:rsidR="006166D2" w:rsidRPr="006166D2" w:rsidRDefault="006166D2" w:rsidP="006166D2">
      <w:pPr>
        <w:pStyle w:val="NormalWeb"/>
        <w:ind w:firstLine="709"/>
        <w:jc w:val="both"/>
        <w:rPr>
          <w:color w:val="000000"/>
          <w:szCs w:val="27"/>
        </w:rPr>
      </w:pPr>
      <w:r w:rsidRPr="006166D2">
        <w:rPr>
          <w:color w:val="000000"/>
          <w:szCs w:val="27"/>
        </w:rPr>
        <w:t>Kimi suçluların yargılanmasında,</w:t>
      </w:r>
      <w:r w:rsidRPr="006166D2">
        <w:rPr>
          <w:color w:val="000000"/>
          <w:szCs w:val="27"/>
          <w:vertAlign w:val="subscript"/>
        </w:rPr>
        <w:t> </w:t>
      </w:r>
      <w:r w:rsidRPr="006166D2">
        <w:rPr>
          <w:color w:val="000000"/>
          <w:szCs w:val="27"/>
        </w:rPr>
        <w:t>iddianamede olaya ve isnadın nedenine yer verilmeksizin dava açılmasına olanak tanımanın savunma hakkının sınırlanması anlamına geldiği açıktır. Ancak, bu sınırlamanın Anayasaya uygun olduğunun kabul edilebilmesi için 13. maddenin birinci fıkrasında sayılan nedenlerle yapılması gerekir. İtirazın konusu kuralla getirilen sınırlamanın ise bu nedenlerle yapılmadığı sonucuna varılmıştır.</w:t>
      </w:r>
    </w:p>
    <w:p w:rsidR="006166D2" w:rsidRPr="006166D2" w:rsidRDefault="006166D2" w:rsidP="006166D2">
      <w:pPr>
        <w:pStyle w:val="NormalWeb"/>
        <w:ind w:firstLine="709"/>
        <w:jc w:val="both"/>
        <w:rPr>
          <w:color w:val="000000"/>
          <w:szCs w:val="27"/>
        </w:rPr>
      </w:pPr>
      <w:r w:rsidRPr="006166D2">
        <w:rPr>
          <w:color w:val="000000"/>
          <w:szCs w:val="27"/>
        </w:rPr>
        <w:t>Bu nedenle kural, Anayasa'nın 13. ve 36. maddelerine aykırıdır.</w:t>
      </w:r>
    </w:p>
    <w:p w:rsidR="006166D2" w:rsidRPr="006166D2" w:rsidRDefault="006166D2" w:rsidP="006166D2">
      <w:pPr>
        <w:pStyle w:val="NormalWeb"/>
        <w:ind w:firstLine="709"/>
        <w:jc w:val="both"/>
        <w:rPr>
          <w:color w:val="000000"/>
          <w:szCs w:val="27"/>
        </w:rPr>
      </w:pPr>
      <w:r w:rsidRPr="006166D2">
        <w:rPr>
          <w:color w:val="000000"/>
          <w:szCs w:val="27"/>
        </w:rPr>
        <w:t>İptali gerekir."</w:t>
      </w:r>
      <w:r w:rsidRPr="006166D2">
        <w:rPr>
          <w:color w:val="000000"/>
          <w:szCs w:val="27"/>
        </w:rPr>
        <w:t>"</w:t>
      </w:r>
    </w:p>
    <w:p w:rsidR="00CE1FB9" w:rsidRPr="006166D2" w:rsidRDefault="00CE1FB9" w:rsidP="006166D2">
      <w:pPr>
        <w:spacing w:before="100" w:beforeAutospacing="1" w:after="100" w:afterAutospacing="1" w:line="240" w:lineRule="auto"/>
        <w:ind w:firstLine="709"/>
        <w:jc w:val="both"/>
        <w:rPr>
          <w:rFonts w:ascii="Times New Roman" w:hAnsi="Times New Roman" w:cs="Times New Roman"/>
          <w:sz w:val="24"/>
        </w:rPr>
      </w:pPr>
    </w:p>
    <w:sectPr w:rsidR="00CE1FB9" w:rsidRPr="006166D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DA5" w:rsidRDefault="00E76DA5" w:rsidP="006166D2">
      <w:pPr>
        <w:spacing w:after="0" w:line="240" w:lineRule="auto"/>
      </w:pPr>
      <w:r>
        <w:separator/>
      </w:r>
    </w:p>
  </w:endnote>
  <w:endnote w:type="continuationSeparator" w:id="0">
    <w:p w:rsidR="00E76DA5" w:rsidRDefault="00E76DA5" w:rsidP="00616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D2" w:rsidRDefault="006166D2" w:rsidP="00C338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66D2" w:rsidRDefault="006166D2" w:rsidP="006166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D2" w:rsidRPr="006166D2" w:rsidRDefault="006166D2" w:rsidP="00C338D5">
    <w:pPr>
      <w:pStyle w:val="Altbilgi"/>
      <w:framePr w:wrap="around" w:vAnchor="text" w:hAnchor="margin" w:xAlign="right" w:y="1"/>
      <w:rPr>
        <w:rStyle w:val="SayfaNumaras"/>
        <w:rFonts w:ascii="Times New Roman" w:hAnsi="Times New Roman" w:cs="Times New Roman"/>
      </w:rPr>
    </w:pPr>
    <w:r w:rsidRPr="006166D2">
      <w:rPr>
        <w:rStyle w:val="SayfaNumaras"/>
        <w:rFonts w:ascii="Times New Roman" w:hAnsi="Times New Roman" w:cs="Times New Roman"/>
      </w:rPr>
      <w:fldChar w:fldCharType="begin"/>
    </w:r>
    <w:r w:rsidRPr="006166D2">
      <w:rPr>
        <w:rStyle w:val="SayfaNumaras"/>
        <w:rFonts w:ascii="Times New Roman" w:hAnsi="Times New Roman" w:cs="Times New Roman"/>
      </w:rPr>
      <w:instrText xml:space="preserve">PAGE  </w:instrText>
    </w:r>
    <w:r w:rsidRPr="006166D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166D2">
      <w:rPr>
        <w:rStyle w:val="SayfaNumaras"/>
        <w:rFonts w:ascii="Times New Roman" w:hAnsi="Times New Roman" w:cs="Times New Roman"/>
      </w:rPr>
      <w:fldChar w:fldCharType="end"/>
    </w:r>
  </w:p>
  <w:p w:rsidR="006166D2" w:rsidRPr="006166D2" w:rsidRDefault="006166D2" w:rsidP="006166D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DA5" w:rsidRDefault="00E76DA5" w:rsidP="006166D2">
      <w:pPr>
        <w:spacing w:after="0" w:line="240" w:lineRule="auto"/>
      </w:pPr>
      <w:r>
        <w:separator/>
      </w:r>
    </w:p>
  </w:footnote>
  <w:footnote w:type="continuationSeparator" w:id="0">
    <w:p w:rsidR="00E76DA5" w:rsidRDefault="00E76DA5" w:rsidP="006166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6D2" w:rsidRPr="007925E2" w:rsidRDefault="006166D2" w:rsidP="006166D2">
    <w:pPr>
      <w:spacing w:after="0" w:line="240" w:lineRule="auto"/>
      <w:jc w:val="both"/>
      <w:rPr>
        <w:rFonts w:ascii="Times New Roman" w:eastAsia="Times New Roman" w:hAnsi="Times New Roman" w:cs="Times New Roman"/>
        <w:b/>
        <w:color w:val="000000"/>
        <w:sz w:val="24"/>
        <w:szCs w:val="27"/>
        <w:lang w:eastAsia="tr-TR"/>
      </w:rPr>
    </w:pPr>
    <w:r w:rsidRPr="007925E2">
      <w:rPr>
        <w:rFonts w:ascii="Times New Roman" w:eastAsia="Times New Roman" w:hAnsi="Times New Roman" w:cs="Times New Roman"/>
        <w:b/>
        <w:color w:val="000000"/>
        <w:sz w:val="24"/>
        <w:szCs w:val="27"/>
        <w:lang w:eastAsia="tr-TR"/>
      </w:rPr>
      <w:t>Esas Sayısı : 2000/48</w:t>
    </w:r>
  </w:p>
  <w:p w:rsidR="006166D2" w:rsidRPr="007925E2" w:rsidRDefault="006166D2" w:rsidP="006166D2">
    <w:pPr>
      <w:spacing w:after="0" w:line="240" w:lineRule="auto"/>
      <w:jc w:val="both"/>
      <w:rPr>
        <w:rFonts w:ascii="Times New Roman" w:eastAsia="Times New Roman" w:hAnsi="Times New Roman" w:cs="Times New Roman"/>
        <w:b/>
        <w:color w:val="000000"/>
        <w:sz w:val="24"/>
        <w:szCs w:val="27"/>
        <w:lang w:eastAsia="tr-TR"/>
      </w:rPr>
    </w:pPr>
    <w:r w:rsidRPr="007925E2">
      <w:rPr>
        <w:rFonts w:ascii="Times New Roman" w:eastAsia="Times New Roman" w:hAnsi="Times New Roman" w:cs="Times New Roman"/>
        <w:b/>
        <w:color w:val="000000"/>
        <w:sz w:val="24"/>
        <w:szCs w:val="27"/>
        <w:lang w:eastAsia="tr-TR"/>
      </w:rPr>
      <w:t>Karar Sayası : 2002/36</w:t>
    </w:r>
  </w:p>
  <w:p w:rsidR="006166D2" w:rsidRPr="006166D2" w:rsidRDefault="006166D2" w:rsidP="006166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D2"/>
    <w:rsid w:val="006166D2"/>
    <w:rsid w:val="00CE1FB9"/>
    <w:rsid w:val="00E76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733D3-7584-4272-B752-F5A309FA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166D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166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166D2"/>
  </w:style>
  <w:style w:type="paragraph" w:styleId="Altbilgi">
    <w:name w:val="footer"/>
    <w:basedOn w:val="Normal"/>
    <w:link w:val="AltbilgiChar"/>
    <w:uiPriority w:val="99"/>
    <w:unhideWhenUsed/>
    <w:rsid w:val="006166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166D2"/>
  </w:style>
  <w:style w:type="character" w:styleId="SayfaNumaras">
    <w:name w:val="page number"/>
    <w:basedOn w:val="VarsaylanParagrafYazTipi"/>
    <w:uiPriority w:val="99"/>
    <w:semiHidden/>
    <w:unhideWhenUsed/>
    <w:rsid w:val="0061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857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3780</Characters>
  <Application>Microsoft Office Word</Application>
  <DocSecurity>0</DocSecurity>
  <Lines>31</Lines>
  <Paragraphs>8</Paragraphs>
  <ScaleCrop>false</ScaleCrop>
  <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2019-01-14T06:56:00Z</dcterms:created>
  <dcterms:modified xsi:type="dcterms:W3CDTF">2019-01-14T06:57:00Z</dcterms:modified>
</cp:coreProperties>
</file>