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A1" w:rsidRPr="009C6DA1" w:rsidRDefault="009C6DA1" w:rsidP="009C6DA1">
      <w:pPr>
        <w:pStyle w:val="NormalWeb"/>
        <w:ind w:firstLine="709"/>
        <w:jc w:val="both"/>
        <w:rPr>
          <w:b/>
          <w:bCs/>
          <w:color w:val="000000"/>
          <w:szCs w:val="27"/>
        </w:rPr>
      </w:pPr>
      <w:r w:rsidRPr="009C6DA1">
        <w:rPr>
          <w:b/>
          <w:bCs/>
          <w:color w:val="000000"/>
          <w:szCs w:val="27"/>
        </w:rPr>
        <w:t>"...</w:t>
      </w:r>
    </w:p>
    <w:p w:rsidR="009C6DA1" w:rsidRPr="009C6DA1" w:rsidRDefault="009C6DA1" w:rsidP="009C6DA1">
      <w:pPr>
        <w:pStyle w:val="NormalWeb"/>
        <w:ind w:firstLine="709"/>
        <w:jc w:val="both"/>
        <w:rPr>
          <w:color w:val="000000"/>
          <w:szCs w:val="27"/>
        </w:rPr>
      </w:pPr>
      <w:r w:rsidRPr="009C6DA1">
        <w:rPr>
          <w:b/>
          <w:bCs/>
          <w:color w:val="000000"/>
          <w:szCs w:val="27"/>
        </w:rPr>
        <w:t>I-İPTAL VE YÜRÜRLÜĞÜN DURDURULMASI İSTEMİNİN GEREKÇESİ</w:t>
      </w:r>
    </w:p>
    <w:p w:rsidR="009C6DA1" w:rsidRPr="009C6DA1" w:rsidRDefault="009C6DA1" w:rsidP="009C6DA1">
      <w:pPr>
        <w:pStyle w:val="NormalWeb"/>
        <w:ind w:firstLine="709"/>
        <w:jc w:val="both"/>
        <w:rPr>
          <w:color w:val="000000"/>
          <w:szCs w:val="27"/>
        </w:rPr>
      </w:pPr>
      <w:r w:rsidRPr="009C6DA1">
        <w:rPr>
          <w:color w:val="000000"/>
          <w:szCs w:val="27"/>
        </w:rPr>
        <w:t xml:space="preserve">Dava dilekçesindeki iptal ve yürürlüğün durdurulması gerekçesinde </w:t>
      </w:r>
      <w:proofErr w:type="gramStart"/>
      <w:r w:rsidRPr="009C6DA1">
        <w:rPr>
          <w:color w:val="000000"/>
          <w:szCs w:val="27"/>
        </w:rPr>
        <w:t>özetle :</w:t>
      </w:r>
      <w:proofErr w:type="gramEnd"/>
    </w:p>
    <w:p w:rsidR="009C6DA1" w:rsidRPr="009C6DA1" w:rsidRDefault="009C6DA1" w:rsidP="009C6DA1">
      <w:pPr>
        <w:pStyle w:val="NormalWeb"/>
        <w:ind w:firstLine="709"/>
        <w:jc w:val="both"/>
        <w:rPr>
          <w:color w:val="000000"/>
          <w:szCs w:val="27"/>
        </w:rPr>
      </w:pPr>
      <w:r w:rsidRPr="009C6DA1">
        <w:rPr>
          <w:color w:val="000000"/>
          <w:szCs w:val="27"/>
        </w:rPr>
        <w:t>Anayasa Mahkemesi'nin çeşitli kararlarında, TBMM tarafından Anayasa'nın 91. maddesi uyarınca Bakanlar Kurulu'na verilecek KHK çıkarma yetkisinin önemli, zorunlu ve ivedi durumlar için söz konusu olabileceği, 617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9C6DA1">
        <w:rPr>
          <w:color w:val="000000"/>
          <w:szCs w:val="27"/>
        </w:rPr>
        <w:t>.,</w:t>
      </w:r>
      <w:proofErr w:type="gramEnd"/>
      <w:r w:rsidRPr="009C6DA1">
        <w:rPr>
          <w:color w:val="000000"/>
          <w:szCs w:val="27"/>
        </w:rPr>
        <w:t xml:space="preserve"> 6., 7., 8., 11., 91. ve 153. maddelerine açıkça aykırı olduğu, bu durumdaki bir KHK'nin içeriği yönünden Anayasa'ya aykırı olmasa bile dava açıldığında iptalinin gerektiği; 617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9C6DA1">
        <w:rPr>
          <w:color w:val="000000"/>
          <w:szCs w:val="27"/>
        </w:rPr>
        <w:t>"</w:t>
      </w:r>
    </w:p>
    <w:p w:rsidR="00CE1FB9" w:rsidRPr="009C6DA1" w:rsidRDefault="00CE1FB9" w:rsidP="009C6DA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C6DA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7D" w:rsidRDefault="005D0F7D" w:rsidP="009C6DA1">
      <w:pPr>
        <w:spacing w:after="0" w:line="240" w:lineRule="auto"/>
      </w:pPr>
      <w:r>
        <w:separator/>
      </w:r>
    </w:p>
  </w:endnote>
  <w:endnote w:type="continuationSeparator" w:id="0">
    <w:p w:rsidR="005D0F7D" w:rsidRDefault="005D0F7D" w:rsidP="009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A1" w:rsidRDefault="009C6DA1" w:rsidP="005205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6DA1" w:rsidRDefault="009C6DA1" w:rsidP="009C6D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A1" w:rsidRPr="009C6DA1" w:rsidRDefault="009C6DA1" w:rsidP="00520517">
    <w:pPr>
      <w:pStyle w:val="Altbilgi"/>
      <w:framePr w:wrap="around" w:vAnchor="text" w:hAnchor="margin" w:xAlign="right" w:y="1"/>
      <w:rPr>
        <w:rStyle w:val="SayfaNumaras"/>
        <w:rFonts w:ascii="Times New Roman" w:hAnsi="Times New Roman" w:cs="Times New Roman"/>
      </w:rPr>
    </w:pPr>
    <w:r w:rsidRPr="009C6DA1">
      <w:rPr>
        <w:rStyle w:val="SayfaNumaras"/>
        <w:rFonts w:ascii="Times New Roman" w:hAnsi="Times New Roman" w:cs="Times New Roman"/>
      </w:rPr>
      <w:fldChar w:fldCharType="begin"/>
    </w:r>
    <w:r w:rsidRPr="009C6DA1">
      <w:rPr>
        <w:rStyle w:val="SayfaNumaras"/>
        <w:rFonts w:ascii="Times New Roman" w:hAnsi="Times New Roman" w:cs="Times New Roman"/>
      </w:rPr>
      <w:instrText xml:space="preserve">PAGE  </w:instrText>
    </w:r>
    <w:r w:rsidRPr="009C6DA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C6DA1">
      <w:rPr>
        <w:rStyle w:val="SayfaNumaras"/>
        <w:rFonts w:ascii="Times New Roman" w:hAnsi="Times New Roman" w:cs="Times New Roman"/>
      </w:rPr>
      <w:fldChar w:fldCharType="end"/>
    </w:r>
  </w:p>
  <w:p w:rsidR="009C6DA1" w:rsidRPr="009C6DA1" w:rsidRDefault="009C6DA1" w:rsidP="009C6D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7D" w:rsidRDefault="005D0F7D" w:rsidP="009C6DA1">
      <w:pPr>
        <w:spacing w:after="0" w:line="240" w:lineRule="auto"/>
      </w:pPr>
      <w:r>
        <w:separator/>
      </w:r>
    </w:p>
  </w:footnote>
  <w:footnote w:type="continuationSeparator" w:id="0">
    <w:p w:rsidR="005D0F7D" w:rsidRDefault="005D0F7D" w:rsidP="009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A1" w:rsidRPr="000433C7" w:rsidRDefault="009C6DA1" w:rsidP="009C6DA1">
    <w:pPr>
      <w:spacing w:after="0" w:line="240" w:lineRule="auto"/>
      <w:jc w:val="both"/>
      <w:rPr>
        <w:rFonts w:ascii="Times New Roman" w:eastAsia="Times New Roman" w:hAnsi="Times New Roman" w:cs="Times New Roman"/>
        <w:b/>
        <w:color w:val="000000"/>
        <w:sz w:val="24"/>
        <w:szCs w:val="27"/>
        <w:lang w:eastAsia="tr-TR"/>
      </w:rPr>
    </w:pPr>
    <w:r w:rsidRPr="000433C7">
      <w:rPr>
        <w:rFonts w:ascii="Times New Roman" w:eastAsia="Times New Roman" w:hAnsi="Times New Roman" w:cs="Times New Roman"/>
        <w:b/>
        <w:color w:val="000000"/>
        <w:sz w:val="24"/>
        <w:szCs w:val="27"/>
        <w:lang w:eastAsia="tr-TR"/>
      </w:rPr>
      <w:t xml:space="preserve">Esas </w:t>
    </w:r>
    <w:proofErr w:type="gramStart"/>
    <w:r w:rsidRPr="000433C7">
      <w:rPr>
        <w:rFonts w:ascii="Times New Roman" w:eastAsia="Times New Roman" w:hAnsi="Times New Roman" w:cs="Times New Roman"/>
        <w:b/>
        <w:color w:val="000000"/>
        <w:sz w:val="24"/>
        <w:szCs w:val="27"/>
        <w:lang w:eastAsia="tr-TR"/>
      </w:rPr>
      <w:t>Sayısı : 2000</w:t>
    </w:r>
    <w:proofErr w:type="gramEnd"/>
    <w:r w:rsidRPr="000433C7">
      <w:rPr>
        <w:rFonts w:ascii="Times New Roman" w:eastAsia="Times New Roman" w:hAnsi="Times New Roman" w:cs="Times New Roman"/>
        <w:b/>
        <w:color w:val="000000"/>
        <w:sz w:val="24"/>
        <w:szCs w:val="27"/>
        <w:lang w:eastAsia="tr-TR"/>
      </w:rPr>
      <w:t>/63</w:t>
    </w:r>
  </w:p>
  <w:p w:rsidR="009C6DA1" w:rsidRPr="000433C7" w:rsidRDefault="009C6DA1" w:rsidP="009C6DA1">
    <w:pPr>
      <w:spacing w:after="0" w:line="240" w:lineRule="auto"/>
      <w:jc w:val="both"/>
      <w:rPr>
        <w:rFonts w:ascii="Times New Roman" w:eastAsia="Times New Roman" w:hAnsi="Times New Roman" w:cs="Times New Roman"/>
        <w:b/>
        <w:color w:val="000000"/>
        <w:sz w:val="24"/>
        <w:szCs w:val="27"/>
        <w:lang w:eastAsia="tr-TR"/>
      </w:rPr>
    </w:pPr>
    <w:r w:rsidRPr="000433C7">
      <w:rPr>
        <w:rFonts w:ascii="Times New Roman" w:eastAsia="Times New Roman" w:hAnsi="Times New Roman" w:cs="Times New Roman"/>
        <w:b/>
        <w:color w:val="000000"/>
        <w:sz w:val="24"/>
        <w:szCs w:val="27"/>
        <w:lang w:eastAsia="tr-TR"/>
      </w:rPr>
      <w:t xml:space="preserve">Karar </w:t>
    </w:r>
    <w:proofErr w:type="gramStart"/>
    <w:r w:rsidRPr="000433C7">
      <w:rPr>
        <w:rFonts w:ascii="Times New Roman" w:eastAsia="Times New Roman" w:hAnsi="Times New Roman" w:cs="Times New Roman"/>
        <w:b/>
        <w:color w:val="000000"/>
        <w:sz w:val="24"/>
        <w:szCs w:val="27"/>
        <w:lang w:eastAsia="tr-TR"/>
      </w:rPr>
      <w:t>Sayısı : 2000</w:t>
    </w:r>
    <w:proofErr w:type="gramEnd"/>
    <w:r w:rsidRPr="000433C7">
      <w:rPr>
        <w:rFonts w:ascii="Times New Roman" w:eastAsia="Times New Roman" w:hAnsi="Times New Roman" w:cs="Times New Roman"/>
        <w:b/>
        <w:color w:val="000000"/>
        <w:sz w:val="24"/>
        <w:szCs w:val="27"/>
        <w:lang w:eastAsia="tr-TR"/>
      </w:rPr>
      <w:t>/36</w:t>
    </w:r>
  </w:p>
  <w:p w:rsidR="009C6DA1" w:rsidRPr="009C6DA1" w:rsidRDefault="009C6DA1" w:rsidP="009C6D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A1"/>
    <w:rsid w:val="005D0F7D"/>
    <w:rsid w:val="009C6D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2084F-F24F-440E-A9C8-92C06028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C6D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6D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6DA1"/>
  </w:style>
  <w:style w:type="paragraph" w:styleId="Altbilgi">
    <w:name w:val="footer"/>
    <w:basedOn w:val="Normal"/>
    <w:link w:val="AltbilgiChar"/>
    <w:uiPriority w:val="99"/>
    <w:unhideWhenUsed/>
    <w:rsid w:val="009C6D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6DA1"/>
  </w:style>
  <w:style w:type="character" w:styleId="SayfaNumaras">
    <w:name w:val="page number"/>
    <w:basedOn w:val="VarsaylanParagrafYazTipi"/>
    <w:uiPriority w:val="99"/>
    <w:semiHidden/>
    <w:unhideWhenUsed/>
    <w:rsid w:val="009C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2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2019-01-09T06:36:00Z</dcterms:created>
  <dcterms:modified xsi:type="dcterms:W3CDTF">2019-01-09T06:36:00Z</dcterms:modified>
</cp:coreProperties>
</file>