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60594" w:rsidRPr="00060594" w:rsidRDefault="00060594" w:rsidP="00060594">
      <w:pPr>
        <w:pStyle w:val="NormalWeb"/>
        <w:ind w:firstLine="709"/>
        <w:jc w:val="both"/>
        <w:rPr>
          <w:b/>
          <w:bCs/>
          <w:color w:val="000000"/>
          <w:szCs w:val="27"/>
        </w:rPr>
      </w:pPr>
      <w:r w:rsidRPr="00060594">
        <w:rPr>
          <w:b/>
          <w:bCs/>
          <w:color w:val="000000"/>
          <w:szCs w:val="27"/>
        </w:rPr>
        <w:t>"...</w:t>
      </w:r>
    </w:p>
    <w:p w:rsidR="00060594" w:rsidRPr="00060594" w:rsidRDefault="00060594" w:rsidP="00060594">
      <w:pPr>
        <w:pStyle w:val="NormalWeb"/>
        <w:ind w:firstLine="709"/>
        <w:jc w:val="both"/>
        <w:rPr>
          <w:color w:val="000000"/>
          <w:szCs w:val="27"/>
        </w:rPr>
      </w:pPr>
      <w:r w:rsidRPr="00060594">
        <w:rPr>
          <w:b/>
          <w:bCs/>
          <w:color w:val="000000"/>
          <w:szCs w:val="27"/>
        </w:rPr>
        <w:t>II- İTİRAZIN GEREKÇESİ</w:t>
      </w:r>
      <w:bookmarkStart w:id="0" w:name="_GoBack"/>
      <w:bookmarkEnd w:id="0"/>
    </w:p>
    <w:p w:rsidR="00060594" w:rsidRPr="00060594" w:rsidRDefault="00060594" w:rsidP="00060594">
      <w:pPr>
        <w:pStyle w:val="NormalWeb"/>
        <w:ind w:firstLine="709"/>
        <w:jc w:val="both"/>
        <w:rPr>
          <w:color w:val="000000"/>
          <w:szCs w:val="27"/>
        </w:rPr>
      </w:pPr>
      <w:r w:rsidRPr="00060594">
        <w:rPr>
          <w:color w:val="000000"/>
          <w:szCs w:val="27"/>
        </w:rPr>
        <w:t>Başvuru kararının gerekçe bölümü şöyledir:</w:t>
      </w:r>
    </w:p>
    <w:p w:rsidR="00060594" w:rsidRPr="00060594" w:rsidRDefault="00060594" w:rsidP="00060594">
      <w:pPr>
        <w:pStyle w:val="NormalWeb"/>
        <w:ind w:firstLine="709"/>
        <w:jc w:val="both"/>
        <w:rPr>
          <w:color w:val="000000"/>
          <w:szCs w:val="27"/>
        </w:rPr>
      </w:pPr>
      <w:r w:rsidRPr="00060594">
        <w:rPr>
          <w:color w:val="000000"/>
          <w:szCs w:val="27"/>
        </w:rPr>
        <w:t>"1- TCK.nın diğer özel yasalarda suç olarak düzenlenen eylemlerde hürriyeti bağlayıcı cezaya hükmolunduğunda koşulları varsa 647 SY.nın 4. maddesi ile beher günü kabahatlerde 3000-5000TL cürümlerde 5000-10.000TL hesabı ile hafif yada ağır para cezasına çevrilmesi öngörülmüş ve infazda ödenmemesi halinde aynı şekilde hürriyeti bağlayıcı cezaya çevrilmesini ön gören 647 SY.nın 5. maddesinin 6. fıkrası ile uyum içerisindeyken her nasılsa 4108 SY.nın 9. maddesi ile hapis cezasının beher gününün asgari ücretin 1 aylık brüt tutarının yarısı üzerinden ağır paraya çevrilmesi ön görülmekle eşitsizlik yaratılmaktadır.</w:t>
      </w:r>
    </w:p>
    <w:p w:rsidR="00060594" w:rsidRPr="00060594" w:rsidRDefault="00060594" w:rsidP="00060594">
      <w:pPr>
        <w:pStyle w:val="NormalWeb"/>
        <w:ind w:firstLine="709"/>
        <w:jc w:val="both"/>
        <w:rPr>
          <w:color w:val="000000"/>
          <w:szCs w:val="27"/>
        </w:rPr>
      </w:pPr>
      <w:r w:rsidRPr="00060594">
        <w:rPr>
          <w:color w:val="000000"/>
          <w:szCs w:val="27"/>
        </w:rPr>
        <w:t>Şöyle ki; Hiç bir hukuk sistemi suçları küçük-büyük, önemli-önemsiz.... gibi ayrım yapmaksızın sorunu genel hükümlerle çözmekte, ülkemizde de bunu karşılayan 647 SY.nın 4. maddesi var iken her nasılsa 213 SY.da da sadece bu suçlar için düzenleme ile bu ayrım yapılmakla Anayasamızın eşitlik ilkesine aykırı durum ortaya çıktığı,</w:t>
      </w:r>
    </w:p>
    <w:p w:rsidR="00060594" w:rsidRPr="00060594" w:rsidRDefault="00060594" w:rsidP="00060594">
      <w:pPr>
        <w:pStyle w:val="NormalWeb"/>
        <w:ind w:firstLine="709"/>
        <w:jc w:val="both"/>
        <w:rPr>
          <w:color w:val="000000"/>
          <w:szCs w:val="27"/>
        </w:rPr>
      </w:pPr>
      <w:r w:rsidRPr="00060594">
        <w:rPr>
          <w:color w:val="000000"/>
          <w:szCs w:val="27"/>
        </w:rPr>
        <w:t>1- Açıklanan hükümler uygulandığında 213 SY.nın 359. maddesi uyarınca ceza alt sınırdan tayini halinde ya 6 ay hapis cezası ile cezalandırılıp paraya çevrilemeyeceği yada paraya çevrilmesine karar verilmesi halinde elimizdeki dosya için hapis cezasının günlüğü sanayi kesimindeki asgari ücretin aylık tutarının yarısı olan 17.718.750 TL.den 3.189.375.000 TL ağır para cezasına çevrileceği ve bu para cezasının ertelenemeyeceğine dair 4108 SY.nın 5. maddesinin 6. fıkrası uyarınca 10.000 TL si bir gün olmak üzere 8736 sene gibi hapis cezasına dönüşeceğine ancak bu hapis cezasının yine 647 SY.nın 10. maddesi uyarınca 3 yıl tekerrür halinde 5 yıl hapis cezasına dönüştürülmesi karşısında başlangıçta yasa maddesi uyarınca hapis cezası 6 ay tayin edilmiş olmakla paraya çevrilmemesi halinde eşitlik ve adalet sağlandığı halde hapsin 4108 SY.nın ön gördüğü şeklinde asgari ücretten paraya çevrilmesi halinde ve bu para ertelenemez hükmü karşısında para cezasını ödeyen ile ödemeyen arasında büyük bir eşitsizlik ve adaletsizlik oluşacağı, ülkemizin sosyoekonomik koşulları karşısında az yada orta gelirli mükelleflerin yüksek oranda bulunmakla uygulamada yaygın şekilde uygulanacağı,</w:t>
      </w:r>
    </w:p>
    <w:p w:rsidR="00060594" w:rsidRPr="00060594" w:rsidRDefault="00060594" w:rsidP="00060594">
      <w:pPr>
        <w:pStyle w:val="NormalWeb"/>
        <w:ind w:firstLine="709"/>
        <w:jc w:val="both"/>
        <w:rPr>
          <w:color w:val="000000"/>
          <w:szCs w:val="27"/>
        </w:rPr>
      </w:pPr>
      <w:r w:rsidRPr="00060594">
        <w:rPr>
          <w:color w:val="000000"/>
          <w:szCs w:val="27"/>
        </w:rPr>
        <w:t>2- Diğer bir aykırılık 2 nolu açıklamalarda geçtiği üzere tekerrür hükmünün uygulanmasında doğan eşitsizliktir. 647/4 uygulandığında tekerrür olsa dahi para cezası ödenmediğinde hapse çevrilmesinde 647/5-10 fıkrasıyla 3 yıl hapse varmazken 4108 uygulandığında tekerrür halinde 5 yıl hapis olarak infazı gerekmekle Anayasamızın eşitlik ilkesine aykırı olacağı,</w:t>
      </w:r>
    </w:p>
    <w:p w:rsidR="00060594" w:rsidRPr="00060594" w:rsidRDefault="00060594" w:rsidP="00060594">
      <w:pPr>
        <w:pStyle w:val="NormalWeb"/>
        <w:ind w:firstLine="709"/>
        <w:jc w:val="both"/>
        <w:rPr>
          <w:color w:val="000000"/>
          <w:szCs w:val="27"/>
        </w:rPr>
      </w:pPr>
      <w:r w:rsidRPr="00060594">
        <w:rPr>
          <w:color w:val="000000"/>
          <w:szCs w:val="27"/>
        </w:rPr>
        <w:t>Her ne kadar yüksek Yargıtay 9. Ceza Dairesi, Yargıtay Kararlar Dergisinin 1991/7 sayı 1123-1124 sayfasında yayınlanan benzer bir cezanın infazında 25.4.1991 tarih 1301 esas 1397 karar sayılı kararı ile "... bir gün 10.000 TL den hapse çevrildiğinde hükmedilmiş hürriyeti bağlayıcı ceza süresinin aşılamayacağı infaz hukuku ile hak ve nesafet kurallarının gereği bulunduğundan para cezasından çevrilen hapis cezasının ... gün olarak belirlenmesine..." karar vererek bu olayda sorunu çözümlemişse de bu hukuki ve mantıki ise de yasal değildir.</w:t>
      </w:r>
    </w:p>
    <w:p w:rsidR="00060594" w:rsidRPr="00060594" w:rsidRDefault="00060594" w:rsidP="00060594">
      <w:pPr>
        <w:pStyle w:val="NormalWeb"/>
        <w:ind w:firstLine="709"/>
        <w:jc w:val="both"/>
        <w:rPr>
          <w:color w:val="000000"/>
          <w:szCs w:val="27"/>
        </w:rPr>
      </w:pPr>
      <w:r w:rsidRPr="00060594">
        <w:rPr>
          <w:color w:val="000000"/>
          <w:szCs w:val="27"/>
        </w:rPr>
        <w:t>Çünkü, yüksek Daire yetkisini zorlayarak belki de aşarak soruna hak ve adalet adına bir çözüm getirmeye çalışmıştır. Ancak bu yorum yasa maddesinin ve yasa koyucunun iradesini değiştirmek anlamına gelir ki yorumla yapılacak bir iş değil yasa değişikliği gerekmektedir.</w:t>
      </w:r>
    </w:p>
    <w:p w:rsidR="00060594" w:rsidRPr="00060594" w:rsidRDefault="00060594" w:rsidP="00060594">
      <w:pPr>
        <w:pStyle w:val="NormalWeb"/>
        <w:ind w:firstLine="709"/>
        <w:jc w:val="both"/>
        <w:rPr>
          <w:color w:val="000000"/>
          <w:szCs w:val="27"/>
        </w:rPr>
      </w:pPr>
      <w:r w:rsidRPr="00060594">
        <w:rPr>
          <w:color w:val="000000"/>
          <w:szCs w:val="27"/>
        </w:rPr>
        <w:lastRenderedPageBreak/>
        <w:t>Diğer yandan yüksek Yargıtay Dairelerinin kararlarının mahkemeleri bağlayıcılığı yoktur. Diğer dairelerin ve yüksek Genel Kurulun hatta İçtihadı Birleştirme Genel Kurulunun bu konuda nasıl bir karar vereceği dahi belli olmayıp aksi kararın çıkması da muhtemeldir.</w:t>
      </w:r>
    </w:p>
    <w:p w:rsidR="00060594" w:rsidRPr="00060594" w:rsidRDefault="00060594" w:rsidP="00060594">
      <w:pPr>
        <w:pStyle w:val="NormalWeb"/>
        <w:ind w:firstLine="709"/>
        <w:jc w:val="both"/>
        <w:rPr>
          <w:color w:val="000000"/>
          <w:szCs w:val="27"/>
        </w:rPr>
      </w:pPr>
      <w:r w:rsidRPr="00060594">
        <w:rPr>
          <w:color w:val="000000"/>
          <w:szCs w:val="27"/>
        </w:rPr>
        <w:t>Hatta; daha önemlisi, içtihadı birleştirme kararlarının bile mahkemeleri bağlayıcılığının yargı bağımsızlığı ile bağdaşmadığı tartışılan günümüzde yüksek Yargıtay 9. Ceza Dairesinin bu kararını yeterli kılmak hukuki ve yasal olmayacağı kanaati oluşmakla;</w:t>
      </w:r>
    </w:p>
    <w:p w:rsidR="00060594" w:rsidRPr="00060594" w:rsidRDefault="00060594" w:rsidP="00060594">
      <w:pPr>
        <w:pStyle w:val="NormalWeb"/>
        <w:ind w:firstLine="709"/>
        <w:jc w:val="both"/>
        <w:rPr>
          <w:color w:val="000000"/>
          <w:szCs w:val="27"/>
        </w:rPr>
      </w:pPr>
      <w:r w:rsidRPr="00060594">
        <w:rPr>
          <w:color w:val="000000"/>
          <w:szCs w:val="27"/>
        </w:rPr>
        <w:t>Yukarıda açıklanan nedenlerle 213 SY.nın 359. maddesinin uygulanması ile hapis cezası paraya çevrilmesi halinde doğabilecek aykırılığın giderilmesi için, 4108 SY.nın 9. maddesinin 1. fıkrasında yazılı "sanayi sektöründe çalışan 16 yaşından büyük işçiler için belirlenen yürürlükteki asgari ücretin bir aylık brüt tutarının yarısı alınır ve..." hükmün 1982 Anayasamızın eşitlik ilkesini düzenleyen 10. maddesine aykırı olduğu düşüncesiyle iptaline karar verilmesi" istenilmiştir.</w:t>
      </w:r>
      <w:r w:rsidRPr="00060594">
        <w:rPr>
          <w:color w:val="000000"/>
          <w:szCs w:val="27"/>
        </w:rPr>
        <w:t>"</w:t>
      </w:r>
    </w:p>
    <w:p w:rsidR="00CE1FB9" w:rsidRPr="00060594" w:rsidRDefault="00CE1FB9" w:rsidP="00060594">
      <w:pPr>
        <w:spacing w:before="100" w:beforeAutospacing="1" w:after="100" w:afterAutospacing="1" w:line="240" w:lineRule="auto"/>
        <w:ind w:firstLine="709"/>
        <w:jc w:val="both"/>
        <w:rPr>
          <w:rFonts w:ascii="Times New Roman" w:hAnsi="Times New Roman" w:cs="Times New Roman"/>
          <w:sz w:val="24"/>
        </w:rPr>
      </w:pPr>
    </w:p>
    <w:sectPr w:rsidR="00CE1FB9" w:rsidRPr="00060594">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2BB4" w:rsidRDefault="00FB2BB4" w:rsidP="00060594">
      <w:pPr>
        <w:spacing w:after="0" w:line="240" w:lineRule="auto"/>
      </w:pPr>
      <w:r>
        <w:separator/>
      </w:r>
    </w:p>
  </w:endnote>
  <w:endnote w:type="continuationSeparator" w:id="0">
    <w:p w:rsidR="00FB2BB4" w:rsidRDefault="00FB2BB4" w:rsidP="000605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594" w:rsidRDefault="00060594" w:rsidP="00B56D8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60594" w:rsidRDefault="00060594" w:rsidP="0006059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594" w:rsidRPr="00060594" w:rsidRDefault="00060594" w:rsidP="00B56D85">
    <w:pPr>
      <w:pStyle w:val="Altbilgi"/>
      <w:framePr w:wrap="around" w:vAnchor="text" w:hAnchor="margin" w:xAlign="right" w:y="1"/>
      <w:rPr>
        <w:rStyle w:val="SayfaNumaras"/>
        <w:rFonts w:ascii="Times New Roman" w:hAnsi="Times New Roman" w:cs="Times New Roman"/>
      </w:rPr>
    </w:pPr>
    <w:r w:rsidRPr="00060594">
      <w:rPr>
        <w:rStyle w:val="SayfaNumaras"/>
        <w:rFonts w:ascii="Times New Roman" w:hAnsi="Times New Roman" w:cs="Times New Roman"/>
      </w:rPr>
      <w:fldChar w:fldCharType="begin"/>
    </w:r>
    <w:r w:rsidRPr="00060594">
      <w:rPr>
        <w:rStyle w:val="SayfaNumaras"/>
        <w:rFonts w:ascii="Times New Roman" w:hAnsi="Times New Roman" w:cs="Times New Roman"/>
      </w:rPr>
      <w:instrText xml:space="preserve">PAGE  </w:instrText>
    </w:r>
    <w:r w:rsidRPr="00060594">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060594">
      <w:rPr>
        <w:rStyle w:val="SayfaNumaras"/>
        <w:rFonts w:ascii="Times New Roman" w:hAnsi="Times New Roman" w:cs="Times New Roman"/>
      </w:rPr>
      <w:fldChar w:fldCharType="end"/>
    </w:r>
  </w:p>
  <w:p w:rsidR="00060594" w:rsidRPr="00060594" w:rsidRDefault="00060594" w:rsidP="00060594">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2BB4" w:rsidRDefault="00FB2BB4" w:rsidP="00060594">
      <w:pPr>
        <w:spacing w:after="0" w:line="240" w:lineRule="auto"/>
      </w:pPr>
      <w:r>
        <w:separator/>
      </w:r>
    </w:p>
  </w:footnote>
  <w:footnote w:type="continuationSeparator" w:id="0">
    <w:p w:rsidR="00FB2BB4" w:rsidRDefault="00FB2BB4" w:rsidP="000605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594" w:rsidRPr="00F66CED" w:rsidRDefault="00060594" w:rsidP="00060594">
    <w:pPr>
      <w:spacing w:after="0" w:line="240" w:lineRule="auto"/>
      <w:jc w:val="both"/>
      <w:rPr>
        <w:rFonts w:ascii="Times New Roman" w:eastAsia="Times New Roman" w:hAnsi="Times New Roman" w:cs="Times New Roman"/>
        <w:b/>
        <w:color w:val="000000"/>
        <w:sz w:val="24"/>
        <w:szCs w:val="27"/>
        <w:lang w:eastAsia="tr-TR"/>
      </w:rPr>
    </w:pPr>
    <w:r w:rsidRPr="00F66CED">
      <w:rPr>
        <w:rFonts w:ascii="Times New Roman" w:eastAsia="Times New Roman" w:hAnsi="Times New Roman" w:cs="Times New Roman"/>
        <w:b/>
        <w:color w:val="000000"/>
        <w:sz w:val="24"/>
        <w:szCs w:val="27"/>
        <w:lang w:eastAsia="tr-TR"/>
      </w:rPr>
      <w:t>Esas Sayısı : 1999/6</w:t>
    </w:r>
  </w:p>
  <w:p w:rsidR="00060594" w:rsidRPr="00F66CED" w:rsidRDefault="00060594" w:rsidP="00060594">
    <w:pPr>
      <w:spacing w:after="0" w:line="240" w:lineRule="auto"/>
      <w:jc w:val="both"/>
      <w:rPr>
        <w:rFonts w:ascii="Times New Roman" w:eastAsia="Times New Roman" w:hAnsi="Times New Roman" w:cs="Times New Roman"/>
        <w:b/>
        <w:color w:val="000000"/>
        <w:sz w:val="24"/>
        <w:szCs w:val="27"/>
        <w:lang w:eastAsia="tr-TR"/>
      </w:rPr>
    </w:pPr>
    <w:r w:rsidRPr="00F66CED">
      <w:rPr>
        <w:rFonts w:ascii="Times New Roman" w:eastAsia="Times New Roman" w:hAnsi="Times New Roman" w:cs="Times New Roman"/>
        <w:b/>
        <w:color w:val="000000"/>
        <w:sz w:val="24"/>
        <w:szCs w:val="27"/>
        <w:lang w:eastAsia="tr-TR"/>
      </w:rPr>
      <w:t>Karar Sayısı : 1999/13</w:t>
    </w:r>
  </w:p>
  <w:p w:rsidR="00060594" w:rsidRPr="00060594" w:rsidRDefault="00060594" w:rsidP="0006059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0594"/>
    <w:rsid w:val="00060594"/>
    <w:rsid w:val="00CE1FB9"/>
    <w:rsid w:val="00FB2BB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5094BE-BE94-4F48-9B5B-9588592D1B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60594"/>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6059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60594"/>
  </w:style>
  <w:style w:type="paragraph" w:styleId="Altbilgi">
    <w:name w:val="footer"/>
    <w:basedOn w:val="Normal"/>
    <w:link w:val="AltbilgiChar"/>
    <w:uiPriority w:val="99"/>
    <w:unhideWhenUsed/>
    <w:rsid w:val="0006059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60594"/>
  </w:style>
  <w:style w:type="character" w:styleId="SayfaNumaras">
    <w:name w:val="page number"/>
    <w:basedOn w:val="VarsaylanParagrafYazTipi"/>
    <w:uiPriority w:val="99"/>
    <w:semiHidden/>
    <w:unhideWhenUsed/>
    <w:rsid w:val="000605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2460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652</Words>
  <Characters>3718</Characters>
  <Application>Microsoft Office Word</Application>
  <DocSecurity>0</DocSecurity>
  <Lines>30</Lines>
  <Paragraphs>8</Paragraphs>
  <ScaleCrop>false</ScaleCrop>
  <Company/>
  <LinksUpToDate>false</LinksUpToDate>
  <CharactersWithSpaces>4362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2019-01-08T07:21:00Z</dcterms:created>
  <dcterms:modified xsi:type="dcterms:W3CDTF">2019-01-08T07:22:00Z</dcterms:modified>
</cp:coreProperties>
</file>