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D71" w:rsidRPr="00BF7D71" w:rsidRDefault="00BF7D71" w:rsidP="00BF7D71">
      <w:pPr>
        <w:pStyle w:val="NormalWeb"/>
        <w:ind w:firstLine="709"/>
        <w:jc w:val="both"/>
        <w:rPr>
          <w:b/>
          <w:bCs/>
          <w:color w:val="000000"/>
          <w:szCs w:val="27"/>
        </w:rPr>
      </w:pPr>
      <w:r w:rsidRPr="00BF7D71">
        <w:rPr>
          <w:b/>
          <w:bCs/>
          <w:color w:val="000000"/>
          <w:szCs w:val="27"/>
        </w:rPr>
        <w:t>"...</w:t>
      </w:r>
    </w:p>
    <w:p w:rsidR="00BF7D71" w:rsidRPr="00BF7D71" w:rsidRDefault="00BF7D71" w:rsidP="00BF7D71">
      <w:pPr>
        <w:pStyle w:val="NormalWeb"/>
        <w:ind w:firstLine="709"/>
        <w:jc w:val="both"/>
        <w:rPr>
          <w:color w:val="000000"/>
          <w:szCs w:val="27"/>
        </w:rPr>
      </w:pPr>
      <w:r w:rsidRPr="00BF7D71">
        <w:rPr>
          <w:b/>
          <w:bCs/>
          <w:color w:val="000000"/>
          <w:szCs w:val="27"/>
        </w:rPr>
        <w:t>II- İTİRAZIN GEREKÇESİ</w:t>
      </w:r>
      <w:bookmarkStart w:id="0" w:name="_GoBack"/>
      <w:bookmarkEnd w:id="0"/>
    </w:p>
    <w:p w:rsidR="00BF7D71" w:rsidRPr="00BF7D71" w:rsidRDefault="00BF7D71" w:rsidP="00BF7D71">
      <w:pPr>
        <w:pStyle w:val="NormalWeb"/>
        <w:ind w:firstLine="709"/>
        <w:jc w:val="both"/>
        <w:rPr>
          <w:color w:val="000000"/>
          <w:szCs w:val="27"/>
        </w:rPr>
      </w:pPr>
      <w:r w:rsidRPr="00BF7D71">
        <w:rPr>
          <w:color w:val="000000"/>
          <w:szCs w:val="27"/>
        </w:rPr>
        <w:t>Başvuru kararının gerekçe bölümü şöyledir:</w:t>
      </w:r>
    </w:p>
    <w:p w:rsidR="00BF7D71" w:rsidRPr="00BF7D71" w:rsidRDefault="00BF7D71" w:rsidP="00BF7D71">
      <w:pPr>
        <w:pStyle w:val="NormalWeb"/>
        <w:ind w:firstLine="709"/>
        <w:jc w:val="both"/>
        <w:rPr>
          <w:color w:val="000000"/>
          <w:szCs w:val="27"/>
        </w:rPr>
      </w:pPr>
      <w:r w:rsidRPr="00BF7D71">
        <w:rPr>
          <w:color w:val="000000"/>
          <w:szCs w:val="27"/>
        </w:rPr>
        <w:t>"Adam öldürme ve yaralama suçları "...zinayı icra halinde veya gayrı meşru cinsi münasebette bulunduğu esnada meşhuden yakalanan veya zina yapmak veya gayrı meşru cinsi münasebette bulunmak üzere yahut henüz zina yapmış veya gayrı meşru cinsi münasebette bulunmuş olduğundan zevahire göre şüphe edilmeyecek surette görünen bir koca veya karı yahut kız kardeş veya füruğdan biri yahut bunların müşterek faili veya her ikisi aleyhinde karı veya koca yahut usulden biri veya erkek veya kız kardeş tarafından işlenmiş olursa, fiilin muayyen olan cezası sekizde bire indirilir ve ağır hapis cezası hapis cezasına tahvil olunur.</w:t>
      </w:r>
    </w:p>
    <w:p w:rsidR="00BF7D71" w:rsidRPr="00BF7D71" w:rsidRDefault="00BF7D71" w:rsidP="00BF7D71">
      <w:pPr>
        <w:pStyle w:val="NormalWeb"/>
        <w:ind w:firstLine="709"/>
        <w:jc w:val="both"/>
        <w:rPr>
          <w:color w:val="000000"/>
          <w:szCs w:val="27"/>
        </w:rPr>
      </w:pPr>
      <w:r w:rsidRPr="00BF7D71">
        <w:rPr>
          <w:color w:val="000000"/>
          <w:szCs w:val="27"/>
        </w:rPr>
        <w:t>Müebbet ağır hapis cezası yerine dört seneden sekiz seneye ve idam cezası yerine de beş seneden on seneye kadar hapis cezası verilir." hükmünü içeren TCK.nun 462. maddesinin Anayasa'ya aykırı olduğu düşünülmüştür. Şöyle ki:</w:t>
      </w:r>
    </w:p>
    <w:p w:rsidR="00BF7D71" w:rsidRPr="00BF7D71" w:rsidRDefault="00BF7D71" w:rsidP="00BF7D71">
      <w:pPr>
        <w:pStyle w:val="NormalWeb"/>
        <w:ind w:firstLine="709"/>
        <w:jc w:val="both"/>
        <w:rPr>
          <w:color w:val="000000"/>
          <w:szCs w:val="27"/>
        </w:rPr>
      </w:pPr>
      <w:r w:rsidRPr="00BF7D71">
        <w:rPr>
          <w:color w:val="000000"/>
          <w:szCs w:val="27"/>
        </w:rPr>
        <w:t>Yaşama, maddi ve manevi varlığını koruma ve geliştirme hakkı; kişiliğe bağlı, dokunulmaz, devredilmez, vazgeçilmez temel haklardandır. Özgür iradesi ve tercihleri ile yaşamını sürdüren -hele de reşit ve mümeyyiz olan- bir bireye, başka bir bireyin sahipliği ve tahakkümü iddiasından, başkasına yar etmeme egoizminden ve "namus temizleme" düşüncesinden kaynaklanan bu maddenin hukukun genel ilkelerine uyar yönü bulunmamaktadır. Örneğin eşinin veya kız kardeşinin işi, aşı ve yaşamı ile ilgilenip ilgilenmediği, sevgi bağının ne durumda olduğu ve benzeri konular da gözardı edilerek; sahiplik iddiasındaki sanığı; isterse maddede yer alan yakınını, isterse onun cinsel eylem ortağını veya isterse her ikisini öldürme veya yaralamada mazur görüp cezasını önemli ölçüde hafifletmek, adalet duygusuna uygun değildir. Kaldı ki; sanığın şiddetli elem veya gazapla hareket ettiği düşüncesi esas alınıyor ise, TCK.nun 51. maddesi çerçevesinde bir tahrikin mevcudiyeti ve onun da haksız olup olmadığı tartışılabilir.</w:t>
      </w:r>
    </w:p>
    <w:p w:rsidR="00BF7D71" w:rsidRPr="00BF7D71" w:rsidRDefault="00BF7D71" w:rsidP="00BF7D71">
      <w:pPr>
        <w:pStyle w:val="NormalWeb"/>
        <w:ind w:firstLine="709"/>
        <w:jc w:val="both"/>
        <w:rPr>
          <w:color w:val="000000"/>
          <w:szCs w:val="27"/>
        </w:rPr>
      </w:pPr>
      <w:r w:rsidRPr="00BF7D71">
        <w:rPr>
          <w:color w:val="000000"/>
          <w:szCs w:val="27"/>
        </w:rPr>
        <w:t>Sonuç olarak TCK.nun 462. maddesinin;</w:t>
      </w:r>
    </w:p>
    <w:p w:rsidR="00BF7D71" w:rsidRPr="00BF7D71" w:rsidRDefault="00BF7D71" w:rsidP="00BF7D71">
      <w:pPr>
        <w:pStyle w:val="NormalWeb"/>
        <w:ind w:firstLine="709"/>
        <w:jc w:val="both"/>
        <w:rPr>
          <w:color w:val="000000"/>
          <w:szCs w:val="27"/>
        </w:rPr>
      </w:pPr>
      <w:r w:rsidRPr="00BF7D71">
        <w:rPr>
          <w:color w:val="000000"/>
          <w:szCs w:val="27"/>
        </w:rPr>
        <w:t>Anayasa'nın,</w:t>
      </w:r>
    </w:p>
    <w:p w:rsidR="00BF7D71" w:rsidRPr="00BF7D71" w:rsidRDefault="00BF7D71" w:rsidP="00BF7D71">
      <w:pPr>
        <w:pStyle w:val="NormalWeb"/>
        <w:ind w:firstLine="709"/>
        <w:jc w:val="both"/>
        <w:rPr>
          <w:color w:val="000000"/>
          <w:szCs w:val="27"/>
        </w:rPr>
      </w:pPr>
      <w:r w:rsidRPr="00BF7D71">
        <w:rPr>
          <w:color w:val="000000"/>
          <w:szCs w:val="27"/>
        </w:rPr>
        <w:t>a) Temel hak ve özgürlüklerden eşitlik ve sosyal adalet gereklerince yararlanma hakkını vurgulayan başlangıç hükümlerine,</w:t>
      </w:r>
    </w:p>
    <w:p w:rsidR="00BF7D71" w:rsidRPr="00BF7D71" w:rsidRDefault="00BF7D71" w:rsidP="00BF7D71">
      <w:pPr>
        <w:pStyle w:val="NormalWeb"/>
        <w:ind w:firstLine="709"/>
        <w:jc w:val="both"/>
        <w:rPr>
          <w:color w:val="000000"/>
          <w:szCs w:val="27"/>
        </w:rPr>
      </w:pPr>
      <w:r w:rsidRPr="00BF7D71">
        <w:rPr>
          <w:color w:val="000000"/>
          <w:szCs w:val="27"/>
        </w:rPr>
        <w:t>b) Temel hak ve özgürlükleri sınırlayan engellerin kaldırılması yolunda Devlete yüklediği temel görevlerle ilgili 5. maddesine,</w:t>
      </w:r>
    </w:p>
    <w:p w:rsidR="00BF7D71" w:rsidRPr="00BF7D71" w:rsidRDefault="00BF7D71" w:rsidP="00BF7D71">
      <w:pPr>
        <w:pStyle w:val="NormalWeb"/>
        <w:ind w:firstLine="709"/>
        <w:jc w:val="both"/>
        <w:rPr>
          <w:color w:val="000000"/>
          <w:szCs w:val="27"/>
        </w:rPr>
      </w:pPr>
      <w:r w:rsidRPr="00BF7D71">
        <w:rPr>
          <w:color w:val="000000"/>
          <w:szCs w:val="27"/>
        </w:rPr>
        <w:t>c) (İtiraz konusu maddenin içerdiği sanıklar ve mağdurların tesbitinde, aynı derecede yakınlar arasında bazılarının ayrılıp seçilmiş oldukları cihetle) kanun önünde eşitliğe dair 10. maddesine,</w:t>
      </w:r>
    </w:p>
    <w:p w:rsidR="00BF7D71" w:rsidRPr="00BF7D71" w:rsidRDefault="00BF7D71" w:rsidP="00BF7D71">
      <w:pPr>
        <w:pStyle w:val="NormalWeb"/>
        <w:ind w:firstLine="709"/>
        <w:jc w:val="both"/>
        <w:rPr>
          <w:color w:val="000000"/>
          <w:szCs w:val="27"/>
        </w:rPr>
      </w:pPr>
      <w:r w:rsidRPr="00BF7D71">
        <w:rPr>
          <w:color w:val="000000"/>
          <w:szCs w:val="27"/>
        </w:rPr>
        <w:t>d) "Herkes, kişiliğine bağlı, dokunulmaz, devredilmez, vazgeçilmez temel hak ve hürriyetlere sahiptir." hükmünü içeren 12/1. maddesine,</w:t>
      </w:r>
    </w:p>
    <w:p w:rsidR="00BF7D71" w:rsidRPr="00BF7D71" w:rsidRDefault="00BF7D71" w:rsidP="00BF7D71">
      <w:pPr>
        <w:pStyle w:val="NormalWeb"/>
        <w:ind w:firstLine="709"/>
        <w:jc w:val="both"/>
        <w:rPr>
          <w:color w:val="000000"/>
          <w:szCs w:val="27"/>
        </w:rPr>
      </w:pPr>
      <w:r w:rsidRPr="00BF7D71">
        <w:rPr>
          <w:color w:val="000000"/>
          <w:szCs w:val="27"/>
        </w:rPr>
        <w:t>e) "Herkes yaşama, maddi ve manevi varlığını koruma ve geliştirme hakkına sahiptir." hükmünü içeren 17/1. maddesine,</w:t>
      </w:r>
    </w:p>
    <w:p w:rsidR="00BF7D71" w:rsidRPr="00BF7D71" w:rsidRDefault="00BF7D71" w:rsidP="00BF7D71">
      <w:pPr>
        <w:pStyle w:val="NormalWeb"/>
        <w:ind w:firstLine="709"/>
        <w:jc w:val="both"/>
        <w:rPr>
          <w:color w:val="000000"/>
          <w:szCs w:val="27"/>
        </w:rPr>
      </w:pPr>
      <w:r w:rsidRPr="00BF7D71">
        <w:rPr>
          <w:color w:val="000000"/>
          <w:szCs w:val="27"/>
        </w:rPr>
        <w:lastRenderedPageBreak/>
        <w:t>f) "Herkes kişi hürriyeti ve güvenliğine sahiptir." hükmünü içeren 19/1. maddesine,</w:t>
      </w:r>
    </w:p>
    <w:p w:rsidR="00BF7D71" w:rsidRPr="00BF7D71" w:rsidRDefault="00BF7D71" w:rsidP="00BF7D71">
      <w:pPr>
        <w:pStyle w:val="NormalWeb"/>
        <w:ind w:firstLine="709"/>
        <w:jc w:val="both"/>
        <w:rPr>
          <w:color w:val="000000"/>
          <w:szCs w:val="27"/>
        </w:rPr>
      </w:pPr>
      <w:r w:rsidRPr="00BF7D71">
        <w:rPr>
          <w:color w:val="000000"/>
          <w:szCs w:val="27"/>
        </w:rPr>
        <w:t>Aykırı olduğu düşünüldüğünden TCK.nun 462. maddesinin iptali için keyfiyetin Anayasa Mahkemesi'ne sunulmasına, ilgili evrak örneklerinin işbu karara ekli olarak gönderilmesine oybirliği ile karar verildi."</w:t>
      </w:r>
      <w:r w:rsidRPr="00BF7D71">
        <w:rPr>
          <w:color w:val="000000"/>
          <w:szCs w:val="27"/>
        </w:rPr>
        <w:t>"</w:t>
      </w:r>
    </w:p>
    <w:p w:rsidR="00CE1FB9" w:rsidRPr="00BF7D71" w:rsidRDefault="00CE1FB9" w:rsidP="00BF7D71">
      <w:pPr>
        <w:spacing w:before="100" w:beforeAutospacing="1" w:after="100" w:afterAutospacing="1" w:line="240" w:lineRule="auto"/>
        <w:ind w:firstLine="709"/>
        <w:jc w:val="both"/>
        <w:rPr>
          <w:rFonts w:ascii="Times New Roman" w:hAnsi="Times New Roman" w:cs="Times New Roman"/>
          <w:sz w:val="24"/>
        </w:rPr>
      </w:pPr>
    </w:p>
    <w:sectPr w:rsidR="00CE1FB9" w:rsidRPr="00BF7D71">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E22" w:rsidRDefault="00D32E22" w:rsidP="00BF7D71">
      <w:pPr>
        <w:spacing w:after="0" w:line="240" w:lineRule="auto"/>
      </w:pPr>
      <w:r>
        <w:separator/>
      </w:r>
    </w:p>
  </w:endnote>
  <w:endnote w:type="continuationSeparator" w:id="0">
    <w:p w:rsidR="00D32E22" w:rsidRDefault="00D32E22" w:rsidP="00BF7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D71" w:rsidRDefault="00BF7D71" w:rsidP="00BB314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F7D71" w:rsidRDefault="00BF7D71" w:rsidP="00BF7D7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D71" w:rsidRPr="00BF7D71" w:rsidRDefault="00BF7D71" w:rsidP="00BB3144">
    <w:pPr>
      <w:pStyle w:val="Altbilgi"/>
      <w:framePr w:wrap="around" w:vAnchor="text" w:hAnchor="margin" w:xAlign="right" w:y="1"/>
      <w:rPr>
        <w:rStyle w:val="SayfaNumaras"/>
        <w:rFonts w:ascii="Times New Roman" w:hAnsi="Times New Roman" w:cs="Times New Roman"/>
      </w:rPr>
    </w:pPr>
    <w:r w:rsidRPr="00BF7D71">
      <w:rPr>
        <w:rStyle w:val="SayfaNumaras"/>
        <w:rFonts w:ascii="Times New Roman" w:hAnsi="Times New Roman" w:cs="Times New Roman"/>
      </w:rPr>
      <w:fldChar w:fldCharType="begin"/>
    </w:r>
    <w:r w:rsidRPr="00BF7D71">
      <w:rPr>
        <w:rStyle w:val="SayfaNumaras"/>
        <w:rFonts w:ascii="Times New Roman" w:hAnsi="Times New Roman" w:cs="Times New Roman"/>
      </w:rPr>
      <w:instrText xml:space="preserve">PAGE  </w:instrText>
    </w:r>
    <w:r w:rsidRPr="00BF7D71">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BF7D71">
      <w:rPr>
        <w:rStyle w:val="SayfaNumaras"/>
        <w:rFonts w:ascii="Times New Roman" w:hAnsi="Times New Roman" w:cs="Times New Roman"/>
      </w:rPr>
      <w:fldChar w:fldCharType="end"/>
    </w:r>
  </w:p>
  <w:p w:rsidR="00BF7D71" w:rsidRPr="00BF7D71" w:rsidRDefault="00BF7D71" w:rsidP="00BF7D7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E22" w:rsidRDefault="00D32E22" w:rsidP="00BF7D71">
      <w:pPr>
        <w:spacing w:after="0" w:line="240" w:lineRule="auto"/>
      </w:pPr>
      <w:r>
        <w:separator/>
      </w:r>
    </w:p>
  </w:footnote>
  <w:footnote w:type="continuationSeparator" w:id="0">
    <w:p w:rsidR="00D32E22" w:rsidRDefault="00D32E22" w:rsidP="00BF7D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D71" w:rsidRPr="0084765C" w:rsidRDefault="00BF7D71" w:rsidP="00BF7D71">
    <w:pPr>
      <w:spacing w:after="0" w:line="240" w:lineRule="auto"/>
      <w:jc w:val="both"/>
      <w:rPr>
        <w:rFonts w:ascii="Times New Roman" w:eastAsia="Times New Roman" w:hAnsi="Times New Roman" w:cs="Times New Roman"/>
        <w:b/>
        <w:color w:val="000000"/>
        <w:sz w:val="24"/>
        <w:szCs w:val="27"/>
        <w:lang w:eastAsia="tr-TR"/>
      </w:rPr>
    </w:pPr>
    <w:r w:rsidRPr="0084765C">
      <w:rPr>
        <w:rFonts w:ascii="Times New Roman" w:eastAsia="Times New Roman" w:hAnsi="Times New Roman" w:cs="Times New Roman"/>
        <w:b/>
        <w:bCs/>
        <w:color w:val="000000"/>
        <w:sz w:val="24"/>
        <w:szCs w:val="27"/>
        <w:lang w:eastAsia="tr-TR"/>
      </w:rPr>
      <w:t>Esas Sayısı : 1997/45</w:t>
    </w:r>
  </w:p>
  <w:p w:rsidR="00BF7D71" w:rsidRPr="0084765C" w:rsidRDefault="00BF7D71" w:rsidP="00BF7D71">
    <w:pPr>
      <w:spacing w:after="0" w:line="240" w:lineRule="auto"/>
      <w:jc w:val="both"/>
      <w:rPr>
        <w:rFonts w:ascii="Times New Roman" w:eastAsia="Times New Roman" w:hAnsi="Times New Roman" w:cs="Times New Roman"/>
        <w:b/>
        <w:color w:val="000000"/>
        <w:sz w:val="24"/>
        <w:szCs w:val="27"/>
        <w:lang w:eastAsia="tr-TR"/>
      </w:rPr>
    </w:pPr>
    <w:r w:rsidRPr="0084765C">
      <w:rPr>
        <w:rFonts w:ascii="Times New Roman" w:eastAsia="Times New Roman" w:hAnsi="Times New Roman" w:cs="Times New Roman"/>
        <w:b/>
        <w:bCs/>
        <w:color w:val="000000"/>
        <w:sz w:val="24"/>
        <w:szCs w:val="27"/>
        <w:lang w:eastAsia="tr-TR"/>
      </w:rPr>
      <w:t>Karar Sayısı : 1998/48</w:t>
    </w:r>
  </w:p>
  <w:p w:rsidR="00BF7D71" w:rsidRPr="00BF7D71" w:rsidRDefault="00BF7D71" w:rsidP="00BF7D7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D71"/>
    <w:rsid w:val="00BF7D71"/>
    <w:rsid w:val="00CE1FB9"/>
    <w:rsid w:val="00D32E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5A204B-335B-4862-9814-99F466E21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F7D7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F7D7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F7D71"/>
  </w:style>
  <w:style w:type="paragraph" w:styleId="Altbilgi">
    <w:name w:val="footer"/>
    <w:basedOn w:val="Normal"/>
    <w:link w:val="AltbilgiChar"/>
    <w:uiPriority w:val="99"/>
    <w:unhideWhenUsed/>
    <w:rsid w:val="00BF7D7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F7D71"/>
  </w:style>
  <w:style w:type="character" w:styleId="SayfaNumaras">
    <w:name w:val="page number"/>
    <w:basedOn w:val="VarsaylanParagrafYazTipi"/>
    <w:uiPriority w:val="99"/>
    <w:semiHidden/>
    <w:unhideWhenUsed/>
    <w:rsid w:val="00BF7D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56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2524</Characters>
  <Application>Microsoft Office Word</Application>
  <DocSecurity>0</DocSecurity>
  <Lines>21</Lines>
  <Paragraphs>5</Paragraphs>
  <ScaleCrop>false</ScaleCrop>
  <Company/>
  <LinksUpToDate>false</LinksUpToDate>
  <CharactersWithSpaces>2961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2019-01-07T10:16:00Z</dcterms:created>
  <dcterms:modified xsi:type="dcterms:W3CDTF">2019-01-07T10:16:00Z</dcterms:modified>
</cp:coreProperties>
</file>