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91FEE" w:rsidRPr="00A91FEE" w:rsidRDefault="00A91FEE" w:rsidP="00A91FEE">
      <w:pPr>
        <w:pStyle w:val="NormalWeb"/>
        <w:ind w:firstLine="709"/>
        <w:jc w:val="both"/>
        <w:rPr>
          <w:color w:val="000000"/>
          <w:szCs w:val="27"/>
        </w:rPr>
      </w:pPr>
      <w:r w:rsidRPr="00A91FEE">
        <w:rPr>
          <w:color w:val="000000"/>
          <w:szCs w:val="27"/>
        </w:rPr>
        <w:t>"...</w:t>
      </w:r>
      <w:bookmarkStart w:id="0" w:name="_GoBack"/>
      <w:bookmarkEnd w:id="0"/>
    </w:p>
    <w:p w:rsidR="00A91FEE" w:rsidRPr="00A91FEE" w:rsidRDefault="00A91FEE" w:rsidP="00A91FEE">
      <w:pPr>
        <w:pStyle w:val="NormalWeb"/>
        <w:ind w:firstLine="709"/>
        <w:jc w:val="both"/>
        <w:rPr>
          <w:color w:val="000000"/>
          <w:szCs w:val="27"/>
        </w:rPr>
      </w:pPr>
      <w:r w:rsidRPr="00A91FEE">
        <w:rPr>
          <w:color w:val="000000"/>
          <w:szCs w:val="27"/>
        </w:rPr>
        <w:t>II- İTİRAZIN GEREKÇESİ</w:t>
      </w:r>
    </w:p>
    <w:p w:rsidR="00A91FEE" w:rsidRPr="00A91FEE" w:rsidRDefault="00A91FEE" w:rsidP="00A91FEE">
      <w:pPr>
        <w:pStyle w:val="NormalWeb"/>
        <w:ind w:firstLine="709"/>
        <w:jc w:val="both"/>
        <w:rPr>
          <w:color w:val="000000"/>
          <w:szCs w:val="27"/>
        </w:rPr>
      </w:pPr>
      <w:r w:rsidRPr="00A91FEE">
        <w:rPr>
          <w:color w:val="000000"/>
          <w:szCs w:val="27"/>
        </w:rPr>
        <w:t xml:space="preserve">İtiraz yoluna başvuran Mahkeme'nin iptal istemiyle ilgili gerekçesi özetle </w:t>
      </w:r>
      <w:proofErr w:type="gramStart"/>
      <w:r w:rsidRPr="00A91FEE">
        <w:rPr>
          <w:color w:val="000000"/>
          <w:szCs w:val="27"/>
        </w:rPr>
        <w:t>şöyledir :</w:t>
      </w:r>
      <w:proofErr w:type="gramEnd"/>
    </w:p>
    <w:p w:rsidR="00A91FEE" w:rsidRPr="00A91FEE" w:rsidRDefault="00A91FEE" w:rsidP="00A91FEE">
      <w:pPr>
        <w:pStyle w:val="NormalWeb"/>
        <w:ind w:firstLine="709"/>
        <w:jc w:val="both"/>
        <w:rPr>
          <w:color w:val="000000"/>
          <w:szCs w:val="27"/>
        </w:rPr>
      </w:pPr>
      <w:proofErr w:type="gramStart"/>
      <w:r w:rsidRPr="00A91FEE">
        <w:rPr>
          <w:color w:val="000000"/>
          <w:szCs w:val="27"/>
        </w:rPr>
        <w:t xml:space="preserve">6831 sayılı Yasanın 91. maddesinin 1. fıkrasında asgari iki ay hapis cezasının öngörüldüğü, bu cezaya 3. fıkradaki artırımla bir misli denilmekle birlikte uygulamada misli rakama bir ilâve edilmek suretiyle yapıldığından cezanın 4 aya çıktığı, ileri sürülen savın fidan emvalleri olduğundan belirtilen cezaya 4. fıkra uyarınca 5 misli uygulanarak 6 ile çarpımı sonucu hapis cezasının asgari 24 aya ulaştığı, ayrıca sanığın suçu işlediği yer, nüfusa kayıtlı olduğu mahal dışında olduğundan maddenin son fıkrası uygulanarak bu cezanın 72 ay olacağı, böylece maddenin fıkralarında belirtilen misli artırımların, temel ceza üzerinden olmayıp bir önceki fıkrada temel cezaya yapılan artırım sonucu tekrar artırım yapılmak suretiyle olduğu, buna karşın orman suçlarının en ağırı olan ormandan tarla açmaya ilişkin suçun cezasının ise, aynı Yasa'nın 93/2. maddesi uyarınca bir yıl hapis cezası olacağı, miktarın çok olması halinde de verilen cezanın yarı oranında artırılarak nihayet </w:t>
      </w:r>
      <w:proofErr w:type="spellStart"/>
      <w:r w:rsidRPr="00A91FEE">
        <w:rPr>
          <w:color w:val="000000"/>
          <w:szCs w:val="27"/>
        </w:rPr>
        <w:t>birbuçuk</w:t>
      </w:r>
      <w:proofErr w:type="spellEnd"/>
      <w:r w:rsidRPr="00A91FEE">
        <w:rPr>
          <w:color w:val="000000"/>
          <w:szCs w:val="27"/>
        </w:rPr>
        <w:t xml:space="preserve"> yıl ceza verilebileceği anlaşılmaktadır.</w:t>
      </w:r>
      <w:proofErr w:type="gramEnd"/>
    </w:p>
    <w:p w:rsidR="00A91FEE" w:rsidRPr="00A91FEE" w:rsidRDefault="00A91FEE" w:rsidP="00A91FEE">
      <w:pPr>
        <w:pStyle w:val="NormalWeb"/>
        <w:ind w:firstLine="709"/>
        <w:jc w:val="both"/>
        <w:rPr>
          <w:color w:val="000000"/>
          <w:szCs w:val="27"/>
        </w:rPr>
      </w:pPr>
      <w:r w:rsidRPr="00A91FEE">
        <w:rPr>
          <w:color w:val="000000"/>
          <w:szCs w:val="27"/>
        </w:rPr>
        <w:t>Yargısal makamların, norm denetimi yaptıkları ve yapmaları gerektiği Anayasa'nın temel kurallarından olmakla birlikte, sosyal olgu ve adalet boyutunun ihmal edilmesini gerektiren bir kural da söz konusu değildir.</w:t>
      </w:r>
    </w:p>
    <w:p w:rsidR="00A91FEE" w:rsidRPr="00A91FEE" w:rsidRDefault="00A91FEE" w:rsidP="00A91FEE">
      <w:pPr>
        <w:pStyle w:val="NormalWeb"/>
        <w:ind w:firstLine="709"/>
        <w:jc w:val="both"/>
        <w:rPr>
          <w:color w:val="000000"/>
          <w:szCs w:val="27"/>
        </w:rPr>
      </w:pPr>
      <w:r w:rsidRPr="00A91FEE">
        <w:rPr>
          <w:color w:val="000000"/>
          <w:szCs w:val="27"/>
        </w:rPr>
        <w:t>Ülkemizdeki yargının sembolü olan Anayasa Mahkemesi, hukuk kurallarını, sosyal olgu ve adalet boyutu açısından değerlendirerek en geniş denetleme yetkisine sahip yargısal makamdır. Yerindelik denetimi yapamayacağına ilişkin Anayasa'da da bir kural yoktur.</w:t>
      </w:r>
    </w:p>
    <w:p w:rsidR="00A91FEE" w:rsidRPr="00A91FEE" w:rsidRDefault="00A91FEE" w:rsidP="00A91FEE">
      <w:pPr>
        <w:pStyle w:val="NormalWeb"/>
        <w:ind w:firstLine="709"/>
        <w:jc w:val="both"/>
        <w:rPr>
          <w:color w:val="000000"/>
          <w:szCs w:val="27"/>
        </w:rPr>
      </w:pPr>
      <w:r w:rsidRPr="00A91FEE">
        <w:rPr>
          <w:color w:val="000000"/>
          <w:szCs w:val="27"/>
        </w:rPr>
        <w:t>Bu sebeplerle, 6831 sayılı Yasa'nın 2896 sayılı Yasa ile değişik 91. maddesinin 3</w:t>
      </w:r>
      <w:proofErr w:type="gramStart"/>
      <w:r w:rsidRPr="00A91FEE">
        <w:rPr>
          <w:color w:val="000000"/>
          <w:szCs w:val="27"/>
        </w:rPr>
        <w:t>.,</w:t>
      </w:r>
      <w:proofErr w:type="gramEnd"/>
      <w:r w:rsidRPr="00A91FEE">
        <w:rPr>
          <w:color w:val="000000"/>
          <w:szCs w:val="27"/>
        </w:rPr>
        <w:t xml:space="preserve"> 4. ve son fıkrasındaki artırıma ilişkin kuralları, </w:t>
      </w:r>
      <w:proofErr w:type="spellStart"/>
      <w:r w:rsidRPr="00A91FEE">
        <w:rPr>
          <w:color w:val="000000"/>
          <w:szCs w:val="27"/>
        </w:rPr>
        <w:t>yasakoyucunun</w:t>
      </w:r>
      <w:proofErr w:type="spellEnd"/>
      <w:r w:rsidRPr="00A91FEE">
        <w:rPr>
          <w:color w:val="000000"/>
          <w:szCs w:val="27"/>
        </w:rPr>
        <w:t xml:space="preserve"> amacını da aşan sonuçlar doğurduğundan, ayrıca bu uygulamadan kaynaklanan cezanın, orman tahribatını çok daha fazla gerçekleştiren eylemlere verilen cezalardan daha fazla olması nedeni ile sosyal olgu ve adalet esasları yönünden, Anayasa'nın temel hak ve hürriyetlerin sınırlanmasına ilişkin 13/2. ve yasanın amacı bakımından cezaların yasallığı ilkesini içeren 38/1. maddelerine aykırılığı sebebiyle iptalleri için doğrudan Anayasa Mahkemesine başvurulmasına karar verilmiştir.</w:t>
      </w:r>
    </w:p>
    <w:p w:rsidR="00A91FEE" w:rsidRPr="00A91FEE" w:rsidRDefault="00A91FEE" w:rsidP="00A91FEE">
      <w:pPr>
        <w:pStyle w:val="NormalWeb"/>
        <w:ind w:firstLine="709"/>
        <w:jc w:val="both"/>
        <w:rPr>
          <w:color w:val="000000"/>
          <w:szCs w:val="27"/>
        </w:rPr>
      </w:pPr>
      <w:r w:rsidRPr="00A91FEE">
        <w:rPr>
          <w:color w:val="000000"/>
          <w:szCs w:val="27"/>
        </w:rPr>
        <w:t>III- YASA METİNLERİ</w:t>
      </w:r>
      <w:r w:rsidRPr="00A91FEE">
        <w:rPr>
          <w:color w:val="000000"/>
          <w:szCs w:val="27"/>
        </w:rPr>
        <w:t>"</w:t>
      </w:r>
    </w:p>
    <w:p w:rsidR="00CE1FB9" w:rsidRPr="00A91FEE" w:rsidRDefault="00CE1FB9" w:rsidP="00A91FEE">
      <w:pPr>
        <w:spacing w:before="100" w:beforeAutospacing="1" w:after="100" w:afterAutospacing="1" w:line="240" w:lineRule="auto"/>
        <w:ind w:firstLine="709"/>
        <w:jc w:val="both"/>
        <w:rPr>
          <w:rFonts w:ascii="Times New Roman" w:hAnsi="Times New Roman" w:cs="Times New Roman"/>
          <w:sz w:val="24"/>
        </w:rPr>
      </w:pPr>
    </w:p>
    <w:sectPr w:rsidR="00CE1FB9" w:rsidRPr="00A91FEE">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C3D76" w:rsidRDefault="003C3D76" w:rsidP="00A91FEE">
      <w:pPr>
        <w:spacing w:after="0" w:line="240" w:lineRule="auto"/>
      </w:pPr>
      <w:r>
        <w:separator/>
      </w:r>
    </w:p>
  </w:endnote>
  <w:endnote w:type="continuationSeparator" w:id="0">
    <w:p w:rsidR="003C3D76" w:rsidRDefault="003C3D76" w:rsidP="00A91F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1FEE" w:rsidRDefault="00A91FEE" w:rsidP="008F1681">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A91FEE" w:rsidRDefault="00A91FEE" w:rsidP="00A91FEE">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1FEE" w:rsidRPr="00A91FEE" w:rsidRDefault="00A91FEE" w:rsidP="008F1681">
    <w:pPr>
      <w:pStyle w:val="Altbilgi"/>
      <w:framePr w:wrap="around" w:vAnchor="text" w:hAnchor="margin" w:xAlign="right" w:y="1"/>
      <w:rPr>
        <w:rStyle w:val="SayfaNumaras"/>
        <w:rFonts w:ascii="Times New Roman" w:hAnsi="Times New Roman" w:cs="Times New Roman"/>
      </w:rPr>
    </w:pPr>
    <w:r w:rsidRPr="00A91FEE">
      <w:rPr>
        <w:rStyle w:val="SayfaNumaras"/>
        <w:rFonts w:ascii="Times New Roman" w:hAnsi="Times New Roman" w:cs="Times New Roman"/>
      </w:rPr>
      <w:fldChar w:fldCharType="begin"/>
    </w:r>
    <w:r w:rsidRPr="00A91FEE">
      <w:rPr>
        <w:rStyle w:val="SayfaNumaras"/>
        <w:rFonts w:ascii="Times New Roman" w:hAnsi="Times New Roman" w:cs="Times New Roman"/>
      </w:rPr>
      <w:instrText xml:space="preserve">PAGE  </w:instrText>
    </w:r>
    <w:r w:rsidRPr="00A91FEE">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A91FEE">
      <w:rPr>
        <w:rStyle w:val="SayfaNumaras"/>
        <w:rFonts w:ascii="Times New Roman" w:hAnsi="Times New Roman" w:cs="Times New Roman"/>
      </w:rPr>
      <w:fldChar w:fldCharType="end"/>
    </w:r>
  </w:p>
  <w:p w:rsidR="00A91FEE" w:rsidRPr="00A91FEE" w:rsidRDefault="00A91FEE" w:rsidP="00A91FEE">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C3D76" w:rsidRDefault="003C3D76" w:rsidP="00A91FEE">
      <w:pPr>
        <w:spacing w:after="0" w:line="240" w:lineRule="auto"/>
      </w:pPr>
      <w:r>
        <w:separator/>
      </w:r>
    </w:p>
  </w:footnote>
  <w:footnote w:type="continuationSeparator" w:id="0">
    <w:p w:rsidR="003C3D76" w:rsidRDefault="003C3D76" w:rsidP="00A91FE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1FEE" w:rsidRPr="00F20192" w:rsidRDefault="00A91FEE" w:rsidP="00A91FEE">
    <w:pPr>
      <w:spacing w:after="0" w:line="240" w:lineRule="auto"/>
      <w:jc w:val="both"/>
      <w:rPr>
        <w:rFonts w:ascii="Times New Roman" w:eastAsia="Times New Roman" w:hAnsi="Times New Roman" w:cs="Times New Roman"/>
        <w:b/>
        <w:color w:val="000000"/>
        <w:sz w:val="24"/>
        <w:szCs w:val="27"/>
        <w:lang w:eastAsia="tr-TR"/>
      </w:rPr>
    </w:pPr>
    <w:r w:rsidRPr="00F20192">
      <w:rPr>
        <w:rFonts w:ascii="Times New Roman" w:eastAsia="Times New Roman" w:hAnsi="Times New Roman" w:cs="Times New Roman"/>
        <w:b/>
        <w:color w:val="000000"/>
        <w:sz w:val="24"/>
        <w:szCs w:val="27"/>
        <w:lang w:eastAsia="tr-TR"/>
      </w:rPr>
      <w:t xml:space="preserve">Esas </w:t>
    </w:r>
    <w:proofErr w:type="gramStart"/>
    <w:r w:rsidRPr="00F20192">
      <w:rPr>
        <w:rFonts w:ascii="Times New Roman" w:eastAsia="Times New Roman" w:hAnsi="Times New Roman" w:cs="Times New Roman"/>
        <w:b/>
        <w:color w:val="000000"/>
        <w:sz w:val="24"/>
        <w:szCs w:val="27"/>
        <w:lang w:eastAsia="tr-TR"/>
      </w:rPr>
      <w:t>Sayısı : 1997</w:t>
    </w:r>
    <w:proofErr w:type="gramEnd"/>
    <w:r w:rsidRPr="00F20192">
      <w:rPr>
        <w:rFonts w:ascii="Times New Roman" w:eastAsia="Times New Roman" w:hAnsi="Times New Roman" w:cs="Times New Roman"/>
        <w:b/>
        <w:color w:val="000000"/>
        <w:sz w:val="24"/>
        <w:szCs w:val="27"/>
        <w:lang w:eastAsia="tr-TR"/>
      </w:rPr>
      <w:t>/33</w:t>
    </w:r>
  </w:p>
  <w:p w:rsidR="00A91FEE" w:rsidRPr="00F20192" w:rsidRDefault="00A91FEE" w:rsidP="00A91FEE">
    <w:pPr>
      <w:spacing w:after="0" w:line="240" w:lineRule="auto"/>
      <w:jc w:val="both"/>
      <w:rPr>
        <w:rFonts w:ascii="Times New Roman" w:eastAsia="Times New Roman" w:hAnsi="Times New Roman" w:cs="Times New Roman"/>
        <w:b/>
        <w:color w:val="000000"/>
        <w:sz w:val="24"/>
        <w:szCs w:val="27"/>
        <w:lang w:eastAsia="tr-TR"/>
      </w:rPr>
    </w:pPr>
    <w:r w:rsidRPr="00F20192">
      <w:rPr>
        <w:rFonts w:ascii="Times New Roman" w:eastAsia="Times New Roman" w:hAnsi="Times New Roman" w:cs="Times New Roman"/>
        <w:b/>
        <w:color w:val="000000"/>
        <w:sz w:val="24"/>
        <w:szCs w:val="27"/>
        <w:lang w:eastAsia="tr-TR"/>
      </w:rPr>
      <w:t xml:space="preserve">Karar </w:t>
    </w:r>
    <w:proofErr w:type="gramStart"/>
    <w:r w:rsidRPr="00F20192">
      <w:rPr>
        <w:rFonts w:ascii="Times New Roman" w:eastAsia="Times New Roman" w:hAnsi="Times New Roman" w:cs="Times New Roman"/>
        <w:b/>
        <w:color w:val="000000"/>
        <w:sz w:val="24"/>
        <w:szCs w:val="27"/>
        <w:lang w:eastAsia="tr-TR"/>
      </w:rPr>
      <w:t>Sayısı : 1997</w:t>
    </w:r>
    <w:proofErr w:type="gramEnd"/>
    <w:r w:rsidRPr="00F20192">
      <w:rPr>
        <w:rFonts w:ascii="Times New Roman" w:eastAsia="Times New Roman" w:hAnsi="Times New Roman" w:cs="Times New Roman"/>
        <w:b/>
        <w:color w:val="000000"/>
        <w:sz w:val="24"/>
        <w:szCs w:val="27"/>
        <w:lang w:eastAsia="tr-TR"/>
      </w:rPr>
      <w:t>/39</w:t>
    </w:r>
  </w:p>
  <w:p w:rsidR="00A91FEE" w:rsidRPr="00A91FEE" w:rsidRDefault="00A91FEE" w:rsidP="00A91FEE">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1FEE"/>
    <w:rsid w:val="003C3D76"/>
    <w:rsid w:val="00A91FEE"/>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4138106-CE18-4663-84B3-200FEAAE7F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A91FEE"/>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A91FEE"/>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A91FEE"/>
  </w:style>
  <w:style w:type="paragraph" w:styleId="Altbilgi">
    <w:name w:val="footer"/>
    <w:basedOn w:val="Normal"/>
    <w:link w:val="AltbilgiChar"/>
    <w:uiPriority w:val="99"/>
    <w:unhideWhenUsed/>
    <w:rsid w:val="00A91FE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A91FEE"/>
  </w:style>
  <w:style w:type="character" w:styleId="SayfaNumaras">
    <w:name w:val="page number"/>
    <w:basedOn w:val="VarsaylanParagrafYazTipi"/>
    <w:uiPriority w:val="99"/>
    <w:semiHidden/>
    <w:unhideWhenUsed/>
    <w:rsid w:val="00A91FE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79939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337</Words>
  <Characters>1923</Characters>
  <Application>Microsoft Office Word</Application>
  <DocSecurity>0</DocSecurity>
  <Lines>16</Lines>
  <Paragraphs>4</Paragraphs>
  <ScaleCrop>false</ScaleCrop>
  <Company/>
  <LinksUpToDate>false</LinksUpToDate>
  <CharactersWithSpaces>2256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2019-01-03T07:02:00Z</dcterms:created>
  <dcterms:modified xsi:type="dcterms:W3CDTF">2019-01-03T07:02:00Z</dcterms:modified>
</cp:coreProperties>
</file>