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264" w:rsidRPr="00DB7264" w:rsidRDefault="00DB7264" w:rsidP="00DB7264">
      <w:pPr>
        <w:pStyle w:val="NormalWeb"/>
        <w:ind w:firstLine="709"/>
        <w:jc w:val="both"/>
        <w:rPr>
          <w:color w:val="000000"/>
          <w:szCs w:val="27"/>
        </w:rPr>
      </w:pPr>
      <w:r w:rsidRPr="00DB7264">
        <w:rPr>
          <w:color w:val="000000"/>
          <w:szCs w:val="27"/>
        </w:rPr>
        <w:t>"...</w:t>
      </w:r>
    </w:p>
    <w:p w:rsidR="00DB7264" w:rsidRPr="00DB7264" w:rsidRDefault="00DB7264" w:rsidP="00DB7264">
      <w:pPr>
        <w:pStyle w:val="NormalWeb"/>
        <w:ind w:firstLine="709"/>
        <w:jc w:val="both"/>
        <w:rPr>
          <w:color w:val="000000"/>
          <w:szCs w:val="27"/>
        </w:rPr>
      </w:pPr>
      <w:r w:rsidRPr="00DB7264">
        <w:rPr>
          <w:color w:val="000000"/>
          <w:szCs w:val="27"/>
        </w:rPr>
        <w:t>II- İTİRAZIN GEREKÇESİ</w:t>
      </w:r>
      <w:bookmarkStart w:id="0" w:name="_GoBack"/>
      <w:bookmarkEnd w:id="0"/>
    </w:p>
    <w:p w:rsidR="00DB7264" w:rsidRPr="00DB7264" w:rsidRDefault="00DB7264" w:rsidP="00DB7264">
      <w:pPr>
        <w:pStyle w:val="NormalWeb"/>
        <w:ind w:firstLine="709"/>
        <w:jc w:val="both"/>
        <w:rPr>
          <w:color w:val="000000"/>
          <w:szCs w:val="27"/>
        </w:rPr>
      </w:pPr>
      <w:r w:rsidRPr="00DB7264">
        <w:rPr>
          <w:color w:val="000000"/>
          <w:szCs w:val="27"/>
        </w:rPr>
        <w:t xml:space="preserve">Başvuru kararının gerekçesi </w:t>
      </w:r>
      <w:proofErr w:type="gramStart"/>
      <w:r w:rsidRPr="00DB7264">
        <w:rPr>
          <w:color w:val="000000"/>
          <w:szCs w:val="27"/>
        </w:rPr>
        <w:t>şöyledir :</w:t>
      </w:r>
      <w:proofErr w:type="gramEnd"/>
    </w:p>
    <w:p w:rsidR="00DB7264" w:rsidRPr="00DB7264" w:rsidRDefault="00DB7264" w:rsidP="00DB7264">
      <w:pPr>
        <w:pStyle w:val="NormalWeb"/>
        <w:ind w:firstLine="709"/>
        <w:jc w:val="both"/>
        <w:rPr>
          <w:color w:val="000000"/>
          <w:szCs w:val="27"/>
        </w:rPr>
      </w:pPr>
      <w:r w:rsidRPr="00DB7264">
        <w:rPr>
          <w:color w:val="000000"/>
          <w:szCs w:val="27"/>
        </w:rPr>
        <w:t xml:space="preserve">'1479 sayılı Esnaf ve </w:t>
      </w:r>
      <w:proofErr w:type="gramStart"/>
      <w:r w:rsidRPr="00DB7264">
        <w:rPr>
          <w:color w:val="000000"/>
          <w:szCs w:val="27"/>
        </w:rPr>
        <w:t>Sanatkarlar</w:t>
      </w:r>
      <w:proofErr w:type="gramEnd"/>
      <w:r w:rsidRPr="00DB7264">
        <w:rPr>
          <w:color w:val="000000"/>
          <w:szCs w:val="27"/>
        </w:rPr>
        <w:t xml:space="preserve"> ve Diğer Bağımsız çalışanlar Sosyal Sigortalar Kurumu Kanunu'nun Ek 14. maddesinin (a) bendinin ikinci fıkrası Anayasa'nın öncelikle 10. maddesine aykırıdır.</w:t>
      </w:r>
    </w:p>
    <w:p w:rsidR="00DB7264" w:rsidRPr="00DB7264" w:rsidRDefault="00DB7264" w:rsidP="00DB7264">
      <w:pPr>
        <w:pStyle w:val="NormalWeb"/>
        <w:ind w:firstLine="709"/>
        <w:jc w:val="both"/>
        <w:rPr>
          <w:color w:val="000000"/>
          <w:szCs w:val="27"/>
        </w:rPr>
      </w:pPr>
      <w:proofErr w:type="gramStart"/>
      <w:r w:rsidRPr="00DB7264">
        <w:rPr>
          <w:color w:val="000000"/>
          <w:szCs w:val="27"/>
        </w:rPr>
        <w:t xml:space="preserve">Gerçekten, öteki sosyal güvenlik kuruluşlarının başında gelen TC. </w:t>
      </w:r>
      <w:proofErr w:type="gramEnd"/>
      <w:r w:rsidRPr="00DB7264">
        <w:rPr>
          <w:color w:val="000000"/>
          <w:szCs w:val="27"/>
        </w:rPr>
        <w:t>Emekli Sandığı iştirakçisine sağladığı sağlık yardımlarında süre bakımından bir sınırlama yoktur. 506 sayılı Sosyal Sigortalar Kanunu'nun 34. maddesindeki sınırlama ise Anayasa Mahkemesi tarafından kaldırılmıştır. Şayet Ek 14. maddenin (a) bendinin ikinci fıkrasındaki sınırlama bir zorunluluktan doğmuş olsaydı, Emekli Sandığı Kanunu'nda da aynı doğrultuda düzenleme yapılırdı. Böyle bir düzenleme bulunmadığına göre, sosyal güvenlik kuruluşları mensupları arasında eşitsizlik yaratılmış olmaktadır. Bu nedenle sözü edilen ikinci fıkra Anayasa'nın 10. maddesine aykırıdır.</w:t>
      </w:r>
    </w:p>
    <w:p w:rsidR="00DB7264" w:rsidRPr="00DB7264" w:rsidRDefault="00DB7264" w:rsidP="00DB7264">
      <w:pPr>
        <w:pStyle w:val="NormalWeb"/>
        <w:ind w:firstLine="709"/>
        <w:jc w:val="both"/>
        <w:rPr>
          <w:color w:val="000000"/>
          <w:szCs w:val="27"/>
        </w:rPr>
      </w:pPr>
      <w:r w:rsidRPr="00DB7264">
        <w:rPr>
          <w:color w:val="000000"/>
          <w:szCs w:val="27"/>
        </w:rPr>
        <w:t>Anayasa'nın 17. ve 56. maddeleri açısından inceleme:</w:t>
      </w:r>
    </w:p>
    <w:p w:rsidR="00DB7264" w:rsidRPr="00DB7264" w:rsidRDefault="00DB7264" w:rsidP="00DB7264">
      <w:pPr>
        <w:pStyle w:val="NormalWeb"/>
        <w:ind w:firstLine="709"/>
        <w:jc w:val="both"/>
        <w:rPr>
          <w:color w:val="000000"/>
          <w:szCs w:val="27"/>
        </w:rPr>
      </w:pPr>
      <w:r w:rsidRPr="00DB7264">
        <w:rPr>
          <w:color w:val="000000"/>
          <w:szCs w:val="27"/>
        </w:rPr>
        <w:t>17. maddeye göre, yukarıda da değinildiği gibi, 'herkes yaşama, maddi ve manevi varlığını koruma ve geliştirme hakkına sahiptir'. Ek 14. maddenin söz konusu fıkrası gereğince tedaviyi 6 ayın sonunda kesmek Anayasa'nın anılan maddesine aykırılık oluşturur. Anayasa'nın 56. maddesi, 17. madde hükmünü tamamlamaktadır. Çünkü 56. maddenin üçüncü fıkrası, Devleti, herkesin hayatını, beden ve ruh sağlığı içerisinde sürdürmesini sağlamakla görevlendirmiştir. O halde tedaviyi 6 ay ile sınırlamak Anayasa'nın 56. maddesine de aykırı düşer. Nihayet, sözü edile gelen ikinci fıkra hükmü, Anayasa'ya aykırılığın ciddi olup olmadığı konusunda yapılan açıklamalara göre, Anayasa'nın 60. maddesine de aykırıdır.</w:t>
      </w:r>
    </w:p>
    <w:p w:rsidR="00DB7264" w:rsidRPr="00DB7264" w:rsidRDefault="00DB7264" w:rsidP="00DB7264">
      <w:pPr>
        <w:pStyle w:val="NormalWeb"/>
        <w:ind w:firstLine="709"/>
        <w:jc w:val="both"/>
        <w:rPr>
          <w:color w:val="000000"/>
          <w:szCs w:val="27"/>
        </w:rPr>
      </w:pPr>
      <w:r w:rsidRPr="00DB7264">
        <w:rPr>
          <w:color w:val="000000"/>
          <w:szCs w:val="27"/>
        </w:rPr>
        <w:t xml:space="preserve">Sonuç : 1479 sayılı 'Esnaf ve </w:t>
      </w:r>
      <w:proofErr w:type="spellStart"/>
      <w:r w:rsidRPr="00DB7264">
        <w:rPr>
          <w:color w:val="000000"/>
          <w:szCs w:val="27"/>
        </w:rPr>
        <w:t>Sanatlarlar</w:t>
      </w:r>
      <w:proofErr w:type="spellEnd"/>
      <w:r w:rsidRPr="00DB7264">
        <w:rPr>
          <w:color w:val="000000"/>
          <w:szCs w:val="27"/>
        </w:rPr>
        <w:t xml:space="preserve"> ve Diğer Bağımsız Çalışanlar Sosyal Sigortalar Kurumu' Kanununa, 5.11.1985 gün 3235 sayılı Kanunla getirilen Ek 14. maddenin (a) bendinin, 'Ancak, hastalık hallerinde yataklı tedavi kurumlarında yapılacak sağlık yardımları tedaviye başlanan tarihten itibaren 6 ayı geçemez' kuralını içeren ikinci fıkrasının, Anayasa'nın 10</w:t>
      </w:r>
      <w:proofErr w:type="gramStart"/>
      <w:r w:rsidRPr="00DB7264">
        <w:rPr>
          <w:color w:val="000000"/>
          <w:szCs w:val="27"/>
        </w:rPr>
        <w:t>.,</w:t>
      </w:r>
      <w:proofErr w:type="gramEnd"/>
      <w:r w:rsidRPr="00DB7264">
        <w:rPr>
          <w:color w:val="000000"/>
          <w:szCs w:val="27"/>
        </w:rPr>
        <w:t xml:space="preserve"> 17., 56. ve 60. maddelerine aykırılığı nedeniyle iptali istemiyle Anayasa Mahkemesi'ne başvurulmasına ve temyiz incelemesinin Anayasa Mahkemesi'nin vereceği karara kadar geri bırakılmasına 5.3.1996 gününde oybirliğiyle karar verildi.'</w:t>
      </w:r>
      <w:r w:rsidRPr="00DB7264">
        <w:rPr>
          <w:color w:val="000000"/>
          <w:szCs w:val="27"/>
        </w:rPr>
        <w:t>"</w:t>
      </w:r>
    </w:p>
    <w:p w:rsidR="00CE1FB9" w:rsidRPr="00DB7264" w:rsidRDefault="00CE1FB9" w:rsidP="00DB7264">
      <w:pPr>
        <w:spacing w:before="100" w:beforeAutospacing="1" w:after="100" w:afterAutospacing="1" w:line="240" w:lineRule="auto"/>
        <w:ind w:firstLine="709"/>
        <w:jc w:val="both"/>
        <w:rPr>
          <w:rFonts w:ascii="Times New Roman" w:hAnsi="Times New Roman" w:cs="Times New Roman"/>
          <w:sz w:val="24"/>
        </w:rPr>
      </w:pPr>
    </w:p>
    <w:sectPr w:rsidR="00CE1FB9" w:rsidRPr="00DB726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EDF" w:rsidRDefault="00D42EDF" w:rsidP="00DB7264">
      <w:pPr>
        <w:spacing w:after="0" w:line="240" w:lineRule="auto"/>
      </w:pPr>
      <w:r>
        <w:separator/>
      </w:r>
    </w:p>
  </w:endnote>
  <w:endnote w:type="continuationSeparator" w:id="0">
    <w:p w:rsidR="00D42EDF" w:rsidRDefault="00D42EDF" w:rsidP="00DB7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264" w:rsidRDefault="00DB7264" w:rsidP="00E21DC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B7264" w:rsidRDefault="00DB7264" w:rsidP="00DB726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264" w:rsidRPr="00DB7264" w:rsidRDefault="00DB7264" w:rsidP="00E21DC7">
    <w:pPr>
      <w:pStyle w:val="Altbilgi"/>
      <w:framePr w:wrap="around" w:vAnchor="text" w:hAnchor="margin" w:xAlign="right" w:y="1"/>
      <w:rPr>
        <w:rStyle w:val="SayfaNumaras"/>
        <w:rFonts w:ascii="Times New Roman" w:hAnsi="Times New Roman" w:cs="Times New Roman"/>
      </w:rPr>
    </w:pPr>
    <w:r w:rsidRPr="00DB7264">
      <w:rPr>
        <w:rStyle w:val="SayfaNumaras"/>
        <w:rFonts w:ascii="Times New Roman" w:hAnsi="Times New Roman" w:cs="Times New Roman"/>
      </w:rPr>
      <w:fldChar w:fldCharType="begin"/>
    </w:r>
    <w:r w:rsidRPr="00DB7264">
      <w:rPr>
        <w:rStyle w:val="SayfaNumaras"/>
        <w:rFonts w:ascii="Times New Roman" w:hAnsi="Times New Roman" w:cs="Times New Roman"/>
      </w:rPr>
      <w:instrText xml:space="preserve">PAGE  </w:instrText>
    </w:r>
    <w:r w:rsidRPr="00DB726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B7264">
      <w:rPr>
        <w:rStyle w:val="SayfaNumaras"/>
        <w:rFonts w:ascii="Times New Roman" w:hAnsi="Times New Roman" w:cs="Times New Roman"/>
      </w:rPr>
      <w:fldChar w:fldCharType="end"/>
    </w:r>
  </w:p>
  <w:p w:rsidR="00DB7264" w:rsidRPr="00DB7264" w:rsidRDefault="00DB7264" w:rsidP="00DB726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EDF" w:rsidRDefault="00D42EDF" w:rsidP="00DB7264">
      <w:pPr>
        <w:spacing w:after="0" w:line="240" w:lineRule="auto"/>
      </w:pPr>
      <w:r>
        <w:separator/>
      </w:r>
    </w:p>
  </w:footnote>
  <w:footnote w:type="continuationSeparator" w:id="0">
    <w:p w:rsidR="00D42EDF" w:rsidRDefault="00D42EDF" w:rsidP="00DB72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264" w:rsidRPr="000F2E0F" w:rsidRDefault="00DB7264" w:rsidP="00DB7264">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0F2E0F">
      <w:rPr>
        <w:rFonts w:ascii="Times New Roman" w:eastAsia="Times New Roman" w:hAnsi="Times New Roman" w:cs="Times New Roman"/>
        <w:b/>
        <w:color w:val="000000"/>
        <w:sz w:val="24"/>
        <w:szCs w:val="27"/>
        <w:lang w:eastAsia="tr-TR"/>
      </w:rPr>
      <w:t xml:space="preserve">Esas </w:t>
    </w:r>
    <w:proofErr w:type="gramStart"/>
    <w:r w:rsidRPr="000F2E0F">
      <w:rPr>
        <w:rFonts w:ascii="Times New Roman" w:eastAsia="Times New Roman" w:hAnsi="Times New Roman" w:cs="Times New Roman"/>
        <w:b/>
        <w:color w:val="000000"/>
        <w:sz w:val="24"/>
        <w:szCs w:val="27"/>
        <w:lang w:eastAsia="tr-TR"/>
      </w:rPr>
      <w:t>Sayısı : 1996</w:t>
    </w:r>
    <w:proofErr w:type="gramEnd"/>
    <w:r w:rsidRPr="000F2E0F">
      <w:rPr>
        <w:rFonts w:ascii="Times New Roman" w:eastAsia="Times New Roman" w:hAnsi="Times New Roman" w:cs="Times New Roman"/>
        <w:b/>
        <w:color w:val="000000"/>
        <w:sz w:val="24"/>
        <w:szCs w:val="27"/>
        <w:lang w:eastAsia="tr-TR"/>
      </w:rPr>
      <w:t>/17</w:t>
    </w:r>
  </w:p>
  <w:p w:rsidR="00DB7264" w:rsidRPr="000F2E0F" w:rsidRDefault="00DB7264" w:rsidP="00DB7264">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0F2E0F">
      <w:rPr>
        <w:rFonts w:ascii="Times New Roman" w:eastAsia="Times New Roman" w:hAnsi="Times New Roman" w:cs="Times New Roman"/>
        <w:b/>
        <w:color w:val="000000"/>
        <w:sz w:val="24"/>
        <w:szCs w:val="27"/>
        <w:lang w:eastAsia="tr-TR"/>
      </w:rPr>
      <w:t xml:space="preserve">Karar </w:t>
    </w:r>
    <w:proofErr w:type="gramStart"/>
    <w:r w:rsidRPr="000F2E0F">
      <w:rPr>
        <w:rFonts w:ascii="Times New Roman" w:eastAsia="Times New Roman" w:hAnsi="Times New Roman" w:cs="Times New Roman"/>
        <w:b/>
        <w:color w:val="000000"/>
        <w:sz w:val="24"/>
        <w:szCs w:val="27"/>
        <w:lang w:eastAsia="tr-TR"/>
      </w:rPr>
      <w:t>Sayısı : 1996</w:t>
    </w:r>
    <w:proofErr w:type="gramEnd"/>
    <w:r w:rsidRPr="000F2E0F">
      <w:rPr>
        <w:rFonts w:ascii="Times New Roman" w:eastAsia="Times New Roman" w:hAnsi="Times New Roman" w:cs="Times New Roman"/>
        <w:b/>
        <w:color w:val="000000"/>
        <w:sz w:val="24"/>
        <w:szCs w:val="27"/>
        <w:lang w:eastAsia="tr-TR"/>
      </w:rPr>
      <w:t>/38</w:t>
    </w:r>
  </w:p>
  <w:p w:rsidR="00DB7264" w:rsidRPr="00DB7264" w:rsidRDefault="00DB7264" w:rsidP="00DB726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264"/>
    <w:rsid w:val="00CE1FB9"/>
    <w:rsid w:val="00D42EDF"/>
    <w:rsid w:val="00DB72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DD87A-D126-431E-B99E-C45244CB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B72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B726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B7264"/>
  </w:style>
  <w:style w:type="paragraph" w:styleId="Altbilgi">
    <w:name w:val="footer"/>
    <w:basedOn w:val="Normal"/>
    <w:link w:val="AltbilgiChar"/>
    <w:uiPriority w:val="99"/>
    <w:unhideWhenUsed/>
    <w:rsid w:val="00DB726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B7264"/>
  </w:style>
  <w:style w:type="character" w:styleId="SayfaNumaras">
    <w:name w:val="page number"/>
    <w:basedOn w:val="VarsaylanParagrafYazTipi"/>
    <w:uiPriority w:val="99"/>
    <w:semiHidden/>
    <w:unhideWhenUsed/>
    <w:rsid w:val="00DB7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01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2019-01-02T08:31:00Z</dcterms:created>
  <dcterms:modified xsi:type="dcterms:W3CDTF">2019-01-02T08:32:00Z</dcterms:modified>
</cp:coreProperties>
</file>