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75" w:rsidRPr="00746075" w:rsidRDefault="00746075" w:rsidP="00746075">
      <w:pPr>
        <w:pStyle w:val="NormalWeb"/>
        <w:ind w:firstLine="709"/>
        <w:jc w:val="both"/>
        <w:rPr>
          <w:color w:val="000000"/>
          <w:szCs w:val="27"/>
        </w:rPr>
      </w:pPr>
      <w:r w:rsidRPr="00746075">
        <w:rPr>
          <w:color w:val="000000"/>
          <w:szCs w:val="27"/>
        </w:rPr>
        <w:t>"...</w:t>
      </w:r>
    </w:p>
    <w:p w:rsidR="00746075" w:rsidRPr="00746075" w:rsidRDefault="00746075" w:rsidP="00746075">
      <w:pPr>
        <w:pStyle w:val="NormalWeb"/>
        <w:ind w:firstLine="709"/>
        <w:jc w:val="both"/>
        <w:rPr>
          <w:color w:val="000000"/>
          <w:szCs w:val="27"/>
        </w:rPr>
      </w:pPr>
      <w:r w:rsidRPr="00746075">
        <w:rPr>
          <w:color w:val="000000"/>
          <w:szCs w:val="27"/>
        </w:rPr>
        <w:t>II- İTİRAZIN GEREKÇESİ</w:t>
      </w:r>
    </w:p>
    <w:p w:rsidR="00746075" w:rsidRPr="00746075" w:rsidRDefault="00746075" w:rsidP="00746075">
      <w:pPr>
        <w:pStyle w:val="NormalWeb"/>
        <w:ind w:firstLine="709"/>
        <w:jc w:val="both"/>
        <w:rPr>
          <w:color w:val="000000"/>
          <w:szCs w:val="27"/>
        </w:rPr>
      </w:pPr>
      <w:r w:rsidRPr="00746075">
        <w:rPr>
          <w:color w:val="000000"/>
          <w:szCs w:val="27"/>
        </w:rPr>
        <w:t xml:space="preserve">Başvuru kararının gerekçe bölümü özetle </w:t>
      </w:r>
      <w:proofErr w:type="gramStart"/>
      <w:r w:rsidRPr="00746075">
        <w:rPr>
          <w:color w:val="000000"/>
          <w:szCs w:val="27"/>
        </w:rPr>
        <w:t>şöyledir :</w:t>
      </w:r>
      <w:proofErr w:type="gramEnd"/>
    </w:p>
    <w:p w:rsidR="00746075" w:rsidRPr="00746075" w:rsidRDefault="00746075" w:rsidP="00746075">
      <w:pPr>
        <w:pStyle w:val="NormalWeb"/>
        <w:ind w:firstLine="709"/>
        <w:jc w:val="both"/>
        <w:rPr>
          <w:color w:val="000000"/>
          <w:szCs w:val="27"/>
        </w:rPr>
      </w:pPr>
      <w:r w:rsidRPr="00746075">
        <w:rPr>
          <w:color w:val="000000"/>
          <w:szCs w:val="27"/>
        </w:rPr>
        <w:t>İptali istenilen Medenî Kanun'un 21. maddenin birinci fıkrasında kocanın ikametgâhı karının ikametgâhı olarak kabul edilmiştir. Hukuk Usulü Muhakemeleri Kanunu'nun 9. maddesinin son fıkrasında boşanma veya ayrılık davalarında yetkili mahkeme, davacının ikametgâhı veya eşlerin davadan evvel son defa altı aydan beri birlikte oturdukları yer mahkemesi olarak gösterilmiştir. Bu durumda, davayı koca açarsa, bu maddedeki (davacının ikametgâhı) kuralından yararlanarak kendi ikametgâhı mahkemesinde açabilecektir. Oysa davayı kadın açarsa, kocanın ikametgâhı karının ikametgâhı olarak düzenlendiğinden, kocasının ikametgâhı mahkemesinde davasını açmak zorunda kalacaktır. Bir başka anlatımla, kim açarsa açsın davanın, kocanın ikametgâhı mahkemesinde açılması gerekmektedir. Bu durum, karı aleyhine eşitsizlik yarattığından Anayasa'nın 10. maddesine, yerleşme özgürlüğünü kısıtladığından, Anayasa'nın 13. ve 23. maddelerine aykırıdır.</w:t>
      </w:r>
      <w:r w:rsidRPr="00746075">
        <w:rPr>
          <w:color w:val="000000"/>
          <w:szCs w:val="27"/>
        </w:rPr>
        <w:t>"</w:t>
      </w:r>
    </w:p>
    <w:p w:rsidR="00F74073" w:rsidRPr="00746075" w:rsidRDefault="00F74073" w:rsidP="0074607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460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63" w:rsidRDefault="00216B63" w:rsidP="00746075">
      <w:pPr>
        <w:spacing w:after="0" w:line="240" w:lineRule="auto"/>
      </w:pPr>
      <w:r>
        <w:separator/>
      </w:r>
    </w:p>
  </w:endnote>
  <w:endnote w:type="continuationSeparator" w:id="0">
    <w:p w:rsidR="00216B63" w:rsidRDefault="00216B63" w:rsidP="0074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5" w:rsidRDefault="00746075" w:rsidP="002238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6075" w:rsidRDefault="00746075" w:rsidP="007460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5" w:rsidRPr="00746075" w:rsidRDefault="00746075" w:rsidP="0022386D">
    <w:pPr>
      <w:pStyle w:val="Altbilgi"/>
      <w:framePr w:wrap="around" w:vAnchor="text" w:hAnchor="margin" w:xAlign="right" w:y="1"/>
      <w:rPr>
        <w:rStyle w:val="SayfaNumaras"/>
        <w:rFonts w:ascii="Times New Roman" w:hAnsi="Times New Roman" w:cs="Times New Roman"/>
      </w:rPr>
    </w:pPr>
    <w:r w:rsidRPr="00746075">
      <w:rPr>
        <w:rStyle w:val="SayfaNumaras"/>
        <w:rFonts w:ascii="Times New Roman" w:hAnsi="Times New Roman" w:cs="Times New Roman"/>
      </w:rPr>
      <w:fldChar w:fldCharType="begin"/>
    </w:r>
    <w:r w:rsidRPr="00746075">
      <w:rPr>
        <w:rStyle w:val="SayfaNumaras"/>
        <w:rFonts w:ascii="Times New Roman" w:hAnsi="Times New Roman" w:cs="Times New Roman"/>
      </w:rPr>
      <w:instrText xml:space="preserve">PAGE  </w:instrText>
    </w:r>
    <w:r w:rsidRPr="007460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6075">
      <w:rPr>
        <w:rStyle w:val="SayfaNumaras"/>
        <w:rFonts w:ascii="Times New Roman" w:hAnsi="Times New Roman" w:cs="Times New Roman"/>
      </w:rPr>
      <w:fldChar w:fldCharType="end"/>
    </w:r>
  </w:p>
  <w:p w:rsidR="00746075" w:rsidRPr="00746075" w:rsidRDefault="00746075" w:rsidP="007460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63" w:rsidRDefault="00216B63" w:rsidP="00746075">
      <w:pPr>
        <w:spacing w:after="0" w:line="240" w:lineRule="auto"/>
      </w:pPr>
      <w:r>
        <w:separator/>
      </w:r>
    </w:p>
  </w:footnote>
  <w:footnote w:type="continuationSeparator" w:id="0">
    <w:p w:rsidR="00216B63" w:rsidRDefault="00216B63" w:rsidP="00746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5" w:rsidRPr="00550878" w:rsidRDefault="00746075" w:rsidP="00746075">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color w:val="000000"/>
        <w:sz w:val="24"/>
        <w:szCs w:val="27"/>
        <w:lang w:val="tr-TR" w:eastAsia="tr-TR"/>
      </w:rPr>
      <w:t>Esas Sayısı: 1993/23</w:t>
    </w:r>
  </w:p>
  <w:p w:rsidR="00746075" w:rsidRPr="00550878" w:rsidRDefault="00746075" w:rsidP="00746075">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color w:val="000000"/>
        <w:sz w:val="24"/>
        <w:szCs w:val="27"/>
        <w:lang w:val="tr-TR" w:eastAsia="tr-TR"/>
      </w:rPr>
      <w:t>Karar Sayısı: 1993/55</w:t>
    </w:r>
  </w:p>
  <w:p w:rsidR="00746075" w:rsidRPr="00746075" w:rsidRDefault="00746075" w:rsidP="007460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5"/>
    <w:rsid w:val="00216B63"/>
    <w:rsid w:val="0074607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EFB5F-CC23-4418-9CBC-B0148DBA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460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460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075"/>
    <w:rPr>
      <w:lang w:val="en-US"/>
    </w:rPr>
  </w:style>
  <w:style w:type="character" w:styleId="SayfaNumaras">
    <w:name w:val="page number"/>
    <w:basedOn w:val="VarsaylanParagrafYazTipi"/>
    <w:uiPriority w:val="99"/>
    <w:semiHidden/>
    <w:unhideWhenUsed/>
    <w:rsid w:val="0074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2018-12-18T07:18:00Z</dcterms:created>
  <dcterms:modified xsi:type="dcterms:W3CDTF">2018-12-18T07:19:00Z</dcterms:modified>
</cp:coreProperties>
</file>