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70"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 İPTAL İSTEMİNİN GEREKÇESİ :</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12.11.1993 günlü dava dilekçesinin gerekçe bölümünde aynen şöyle denilmektedir.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8. maddesi, yürütme yetkisinin Cumhurbaşkanı ve Bakanlar Kurulu eliyle Anayasaya ve Kanunlara uygun olarak kullanılacağını,</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9. maddesi, yargı yetkisinin Türk Milleti adına bağımsız mahkemelerce kullanılacağını emretmiştir.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Ayrıca Anayasamızın 87. maddesinde Türkiye Büyük Millet Meclisinin Kanun yapmak, değiştirmek ve kanun kaldırmakla görevlendirildiği ifade edilmiştir.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Anayasanın 2., 7., 87., 91. ve 153. Maddelerine Aykırılık Gerekçeleri :</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Anayasanın 91. maddesine aykırılık: Anayasanın 91. maddesinin 8. ve 9. fıkraları:</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"Kararnameler, Resmî Gazetede yayınlandıkları gün Türkiye Büyük Millet Meclisine sunulur.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Hükümlerini amirdir.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DD6A70" w:rsidRPr="005C7BE2" w:rsidRDefault="00DD6A70" w:rsidP="00DD6A70">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653D31" w:rsidRPr="00DD6A70" w:rsidRDefault="00DD6A70" w:rsidP="00DD6A70">
      <w:pPr>
        <w:spacing w:before="240" w:after="100" w:afterAutospacing="1" w:line="240" w:lineRule="auto"/>
        <w:ind w:firstLine="709"/>
        <w:jc w:val="both"/>
        <w:rPr>
          <w:rFonts w:ascii="Times New Roman" w:hAnsi="Times New Roman" w:cs="Times New Roman"/>
          <w:sz w:val="24"/>
        </w:rPr>
      </w:pPr>
      <w:r w:rsidRPr="005C7BE2">
        <w:rPr>
          <w:rFonts w:ascii="Times New Roman" w:eastAsia="Times New Roman" w:hAnsi="Times New Roman" w:cs="Times New Roman"/>
          <w:color w:val="000000"/>
          <w:sz w:val="24"/>
          <w:szCs w:val="27"/>
          <w:lang w:eastAsia="tr-TR"/>
        </w:rPr>
        <w:t>Anayasanın lafsına ve ruhuna aykırı olarak çıkarılmış bulunan bu Kanun Hükmünde kararnamenin de diğerleri gibi iptal edilmesi gerektiği inancı ile Yüce Mahkemeye başvurmuş bulunmaktayız."</w:t>
      </w:r>
      <w:r>
        <w:rPr>
          <w:rFonts w:ascii="Times New Roman" w:eastAsia="Times New Roman" w:hAnsi="Times New Roman" w:cs="Times New Roman"/>
          <w:color w:val="000000"/>
          <w:sz w:val="24"/>
          <w:szCs w:val="27"/>
          <w:lang w:eastAsia="tr-TR"/>
        </w:rPr>
        <w:t>”</w:t>
      </w:r>
      <w:bookmarkStart w:id="0" w:name="_GoBack"/>
      <w:bookmarkEnd w:id="0"/>
    </w:p>
    <w:sectPr w:rsidR="00653D31" w:rsidRPr="00DD6A70" w:rsidSect="00DD6A7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1D" w:rsidRDefault="00BA021D" w:rsidP="00DD6A70">
      <w:pPr>
        <w:spacing w:after="0" w:line="240" w:lineRule="auto"/>
      </w:pPr>
      <w:r>
        <w:separator/>
      </w:r>
    </w:p>
  </w:endnote>
  <w:endnote w:type="continuationSeparator" w:id="0">
    <w:p w:rsidR="00BA021D" w:rsidRDefault="00BA021D" w:rsidP="00DD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70" w:rsidRDefault="00DD6A70" w:rsidP="00DF13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6A70" w:rsidRDefault="00DD6A70" w:rsidP="00DD6A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70" w:rsidRPr="00DD6A70" w:rsidRDefault="00DD6A70" w:rsidP="00DF13F1">
    <w:pPr>
      <w:pStyle w:val="Altbilgi"/>
      <w:framePr w:wrap="around" w:vAnchor="text" w:hAnchor="margin" w:xAlign="right" w:y="1"/>
      <w:rPr>
        <w:rStyle w:val="SayfaNumaras"/>
        <w:rFonts w:ascii="Times New Roman" w:hAnsi="Times New Roman" w:cs="Times New Roman"/>
      </w:rPr>
    </w:pPr>
    <w:r w:rsidRPr="00DD6A70">
      <w:rPr>
        <w:rStyle w:val="SayfaNumaras"/>
        <w:rFonts w:ascii="Times New Roman" w:hAnsi="Times New Roman" w:cs="Times New Roman"/>
      </w:rPr>
      <w:fldChar w:fldCharType="begin"/>
    </w:r>
    <w:r w:rsidRPr="00DD6A70">
      <w:rPr>
        <w:rStyle w:val="SayfaNumaras"/>
        <w:rFonts w:ascii="Times New Roman" w:hAnsi="Times New Roman" w:cs="Times New Roman"/>
      </w:rPr>
      <w:instrText xml:space="preserve">PAGE  </w:instrText>
    </w:r>
    <w:r w:rsidRPr="00DD6A7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D6A70">
      <w:rPr>
        <w:rStyle w:val="SayfaNumaras"/>
        <w:rFonts w:ascii="Times New Roman" w:hAnsi="Times New Roman" w:cs="Times New Roman"/>
      </w:rPr>
      <w:fldChar w:fldCharType="end"/>
    </w:r>
  </w:p>
  <w:p w:rsidR="00DD6A70" w:rsidRPr="00DD6A70" w:rsidRDefault="00DD6A70" w:rsidP="00DD6A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1D" w:rsidRDefault="00BA021D" w:rsidP="00DD6A70">
      <w:pPr>
        <w:spacing w:after="0" w:line="240" w:lineRule="auto"/>
      </w:pPr>
      <w:r>
        <w:separator/>
      </w:r>
    </w:p>
  </w:footnote>
  <w:footnote w:type="continuationSeparator" w:id="0">
    <w:p w:rsidR="00BA021D" w:rsidRDefault="00BA021D" w:rsidP="00DD6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70" w:rsidRPr="005C7BE2" w:rsidRDefault="00DD6A70" w:rsidP="00DD6A70">
    <w:pPr>
      <w:spacing w:after="0" w:line="240" w:lineRule="auto"/>
      <w:jc w:val="both"/>
      <w:rPr>
        <w:rFonts w:ascii="Times New Roman" w:eastAsia="Times New Roman" w:hAnsi="Times New Roman" w:cs="Times New Roman"/>
        <w:b/>
        <w:color w:val="000000"/>
        <w:sz w:val="24"/>
        <w:szCs w:val="27"/>
        <w:lang w:eastAsia="tr-TR"/>
      </w:rPr>
    </w:pPr>
    <w:r w:rsidRPr="005C7BE2">
      <w:rPr>
        <w:rFonts w:ascii="Times New Roman" w:eastAsia="Times New Roman" w:hAnsi="Times New Roman" w:cs="Times New Roman"/>
        <w:b/>
        <w:color w:val="000000"/>
        <w:sz w:val="24"/>
        <w:szCs w:val="27"/>
        <w:lang w:eastAsia="tr-TR"/>
      </w:rPr>
      <w:t xml:space="preserve">Esas Sayısı </w:t>
    </w:r>
    <w:r>
      <w:rPr>
        <w:rFonts w:ascii="Times New Roman" w:eastAsia="Times New Roman" w:hAnsi="Times New Roman" w:cs="Times New Roman"/>
        <w:b/>
        <w:color w:val="000000"/>
        <w:sz w:val="24"/>
        <w:szCs w:val="27"/>
        <w:lang w:eastAsia="tr-TR"/>
      </w:rPr>
      <w:t xml:space="preserve">   </w:t>
    </w:r>
    <w:r w:rsidRPr="005C7BE2">
      <w:rPr>
        <w:rFonts w:ascii="Times New Roman" w:eastAsia="Times New Roman" w:hAnsi="Times New Roman" w:cs="Times New Roman"/>
        <w:b/>
        <w:color w:val="000000"/>
        <w:sz w:val="24"/>
        <w:szCs w:val="27"/>
        <w:lang w:eastAsia="tr-TR"/>
      </w:rPr>
      <w:t>: 1993/46</w:t>
    </w:r>
  </w:p>
  <w:p w:rsidR="00DD6A70" w:rsidRPr="005C7BE2" w:rsidRDefault="00DD6A70" w:rsidP="00DD6A70">
    <w:pPr>
      <w:spacing w:after="0" w:line="240" w:lineRule="auto"/>
      <w:jc w:val="both"/>
      <w:rPr>
        <w:rFonts w:ascii="Times New Roman" w:eastAsia="Times New Roman" w:hAnsi="Times New Roman" w:cs="Times New Roman"/>
        <w:b/>
        <w:color w:val="000000"/>
        <w:sz w:val="24"/>
        <w:szCs w:val="27"/>
        <w:lang w:eastAsia="tr-TR"/>
      </w:rPr>
    </w:pPr>
    <w:r w:rsidRPr="005C7BE2">
      <w:rPr>
        <w:rFonts w:ascii="Times New Roman" w:eastAsia="Times New Roman" w:hAnsi="Times New Roman" w:cs="Times New Roman"/>
        <w:b/>
        <w:color w:val="000000"/>
        <w:sz w:val="24"/>
        <w:szCs w:val="27"/>
        <w:lang w:eastAsia="tr-TR"/>
      </w:rPr>
      <w:t>Karar Sayısı : 1993/48</w:t>
    </w:r>
  </w:p>
  <w:p w:rsidR="00DD6A70" w:rsidRPr="00DD6A70" w:rsidRDefault="00DD6A70" w:rsidP="00DD6A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70"/>
    <w:rsid w:val="00653D31"/>
    <w:rsid w:val="00BA021D"/>
    <w:rsid w:val="00DD6A70"/>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0FAD-5583-4BD1-9F5D-15B18A16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6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6A70"/>
  </w:style>
  <w:style w:type="paragraph" w:styleId="Altbilgi">
    <w:name w:val="footer"/>
    <w:basedOn w:val="Normal"/>
    <w:link w:val="AltbilgiChar"/>
    <w:uiPriority w:val="99"/>
    <w:unhideWhenUsed/>
    <w:rsid w:val="00DD6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A70"/>
  </w:style>
  <w:style w:type="character" w:styleId="SayfaNumaras">
    <w:name w:val="page number"/>
    <w:basedOn w:val="VarsaylanParagrafYazTipi"/>
    <w:uiPriority w:val="99"/>
    <w:semiHidden/>
    <w:unhideWhenUsed/>
    <w:rsid w:val="00DD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2019-12-13T07:15:00Z</dcterms:created>
  <dcterms:modified xsi:type="dcterms:W3CDTF">2019-12-13T07:16:00Z</dcterms:modified>
</cp:coreProperties>
</file>