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7D4" w:rsidRPr="00D137D4" w:rsidRDefault="00D137D4" w:rsidP="00D137D4">
      <w:pPr>
        <w:pStyle w:val="NormalWeb"/>
        <w:ind w:firstLine="709"/>
        <w:jc w:val="both"/>
        <w:rPr>
          <w:color w:val="000000"/>
          <w:szCs w:val="27"/>
        </w:rPr>
      </w:pPr>
      <w:r w:rsidRPr="00D137D4">
        <w:rPr>
          <w:color w:val="000000"/>
          <w:szCs w:val="27"/>
        </w:rPr>
        <w:t>"...</w:t>
      </w:r>
    </w:p>
    <w:p w:rsidR="00D137D4" w:rsidRPr="00D137D4" w:rsidRDefault="00D137D4" w:rsidP="00D137D4">
      <w:pPr>
        <w:pStyle w:val="NormalWeb"/>
        <w:ind w:firstLine="709"/>
        <w:jc w:val="both"/>
        <w:rPr>
          <w:color w:val="000000"/>
          <w:szCs w:val="27"/>
        </w:rPr>
      </w:pPr>
      <w:r w:rsidRPr="00D137D4">
        <w:rPr>
          <w:color w:val="000000"/>
          <w:szCs w:val="27"/>
        </w:rPr>
        <w:t>II- İTİRAZIN GEREKÇESİ:</w:t>
      </w:r>
    </w:p>
    <w:p w:rsidR="00D137D4" w:rsidRPr="00D137D4" w:rsidRDefault="00D137D4" w:rsidP="00D137D4">
      <w:pPr>
        <w:pStyle w:val="NormalWeb"/>
        <w:ind w:firstLine="709"/>
        <w:jc w:val="both"/>
        <w:rPr>
          <w:color w:val="000000"/>
          <w:szCs w:val="27"/>
        </w:rPr>
      </w:pPr>
      <w:r w:rsidRPr="00D137D4">
        <w:rPr>
          <w:color w:val="000000"/>
          <w:szCs w:val="27"/>
        </w:rPr>
        <w:t xml:space="preserve">Ankara 6. idare Mahkemesi davacının, "Anayasa'nın 135. maddesinde belirtilen kamu kurumu niteliğindeki meslek kuruluşlarının; belli bir mesleğe mensup olanların müşterek ihtiyaçlarını karşılamak, mesleki faaliyetleri kolaylaştırmak, mesleğin genel menfaatlere uygun olarak gelişmelerini sağlamak, meslek mensuplarının birbirleriyle ve halk ile olan ilişkilerinde güveni ve dürüstlüğü </w:t>
      </w:r>
      <w:proofErr w:type="gramStart"/>
      <w:r w:rsidRPr="00D137D4">
        <w:rPr>
          <w:color w:val="000000"/>
          <w:szCs w:val="27"/>
        </w:rPr>
        <w:t>hakim</w:t>
      </w:r>
      <w:proofErr w:type="gramEnd"/>
      <w:r w:rsidRPr="00D137D4">
        <w:rPr>
          <w:color w:val="000000"/>
          <w:szCs w:val="27"/>
        </w:rPr>
        <w:t xml:space="preserve"> kılmak ve meslek disiplin ve ahlâkını korumak üzere kurulmalarım amaçlamaktadır." dediğini ve Türkiye Eczacılar Birliği Büyük Kongresi'nin de Anayasa'nın 135. maddesinde belirlenen ilkeleri gerçekleştirecek en önemli organ olduğunu, meslek mensuplar' arasında bu organın antidemokratik ve azınlığın çoğunluğa hakimiyetine yer verecek bir yapıda oluşmasının kurumun itibar ve güvenirliğini sarsacağım, bu durumda kurumun mesleki disiplini ve ahlâkına yönelik kurallara uyumu tam olarak gerçekleştiremeyeceği biçimindeki savını benimsemiş ve ayrıca, 6643 sayılı Yasa'nın 1956 yılında yürürlüğe girmesinden sonra, kimi maddelerinin değişiklik görmesine karşın, iptali istenen 51/2 maddesinde hiçbir değişiklik yapılmadığım, oysa 6023 sayılı Türk Tabipler Birliği Yasası, 6135 sayılı Türk Mühendis ve Mimar Odaları Birliği Yasası ve 1136 sayılı Avukatlık Kanunu'nun konu ile ilgili maddelerinin karşılaştırılmalarından, anılan kamu kurumu niteliğindeki meslek kuruluşlarının büyük kongrelerinin oluşum biçimlerinin zaman içindeki gereksinimlere göre yeniden kurala bağlandığını ve konuya daha objektif ölçüler getirildiğini saptayarak itiraz konusu kuralda bu gelişmelere koşut gerekli değişikliğin yapılmadığını, bu durumun ise aynı Anayasal düzen içindeki değişik meslek grupları arasında farklı ve eşitliğe aykırı uygulamalara yol açtığını ve dava konusu kuralın Anayasa'nın 135. maddesine aykırı olduğunu ileri sürerek iptalini istemiştir.</w:t>
      </w:r>
      <w:r w:rsidRPr="00D137D4">
        <w:rPr>
          <w:color w:val="000000"/>
          <w:szCs w:val="27"/>
        </w:rPr>
        <w:t>"</w:t>
      </w:r>
    </w:p>
    <w:p w:rsidR="00F74073" w:rsidRPr="00D137D4" w:rsidRDefault="00F74073" w:rsidP="00D137D4">
      <w:pPr>
        <w:spacing w:before="100" w:beforeAutospacing="1" w:after="100" w:afterAutospacing="1" w:line="240" w:lineRule="auto"/>
        <w:ind w:firstLine="709"/>
        <w:jc w:val="both"/>
        <w:rPr>
          <w:rFonts w:ascii="Times New Roman" w:hAnsi="Times New Roman" w:cs="Times New Roman"/>
          <w:sz w:val="24"/>
        </w:rPr>
      </w:pPr>
    </w:p>
    <w:sectPr w:rsidR="00F74073" w:rsidRPr="00D137D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E61" w:rsidRDefault="00BF1E61" w:rsidP="00D137D4">
      <w:pPr>
        <w:spacing w:after="0" w:line="240" w:lineRule="auto"/>
      </w:pPr>
      <w:r>
        <w:separator/>
      </w:r>
    </w:p>
  </w:endnote>
  <w:endnote w:type="continuationSeparator" w:id="0">
    <w:p w:rsidR="00BF1E61" w:rsidRDefault="00BF1E61" w:rsidP="00D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7D4" w:rsidRDefault="00D137D4" w:rsidP="00746EB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137D4" w:rsidRDefault="00D137D4" w:rsidP="00D137D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7D4" w:rsidRPr="00D137D4" w:rsidRDefault="00D137D4" w:rsidP="00746EB7">
    <w:pPr>
      <w:pStyle w:val="Altbilgi"/>
      <w:framePr w:wrap="around" w:vAnchor="text" w:hAnchor="margin" w:xAlign="right" w:y="1"/>
      <w:rPr>
        <w:rStyle w:val="SayfaNumaras"/>
        <w:rFonts w:ascii="Times New Roman" w:hAnsi="Times New Roman" w:cs="Times New Roman"/>
      </w:rPr>
    </w:pPr>
    <w:r w:rsidRPr="00D137D4">
      <w:rPr>
        <w:rStyle w:val="SayfaNumaras"/>
        <w:rFonts w:ascii="Times New Roman" w:hAnsi="Times New Roman" w:cs="Times New Roman"/>
      </w:rPr>
      <w:fldChar w:fldCharType="begin"/>
    </w:r>
    <w:r w:rsidRPr="00D137D4">
      <w:rPr>
        <w:rStyle w:val="SayfaNumaras"/>
        <w:rFonts w:ascii="Times New Roman" w:hAnsi="Times New Roman" w:cs="Times New Roman"/>
      </w:rPr>
      <w:instrText xml:space="preserve">PAGE  </w:instrText>
    </w:r>
    <w:r w:rsidRPr="00D137D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137D4">
      <w:rPr>
        <w:rStyle w:val="SayfaNumaras"/>
        <w:rFonts w:ascii="Times New Roman" w:hAnsi="Times New Roman" w:cs="Times New Roman"/>
      </w:rPr>
      <w:fldChar w:fldCharType="end"/>
    </w:r>
  </w:p>
  <w:p w:rsidR="00D137D4" w:rsidRPr="00D137D4" w:rsidRDefault="00D137D4" w:rsidP="00D137D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7D4" w:rsidRDefault="00D137D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E61" w:rsidRDefault="00BF1E61" w:rsidP="00D137D4">
      <w:pPr>
        <w:spacing w:after="0" w:line="240" w:lineRule="auto"/>
      </w:pPr>
      <w:r>
        <w:separator/>
      </w:r>
    </w:p>
  </w:footnote>
  <w:footnote w:type="continuationSeparator" w:id="0">
    <w:p w:rsidR="00BF1E61" w:rsidRDefault="00BF1E61" w:rsidP="00D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7D4" w:rsidRDefault="00D137D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7D4" w:rsidRPr="00D60756" w:rsidRDefault="00D137D4" w:rsidP="00D137D4">
    <w:pPr>
      <w:spacing w:after="0" w:line="240" w:lineRule="auto"/>
      <w:jc w:val="both"/>
      <w:rPr>
        <w:rFonts w:ascii="Times New Roman" w:eastAsia="Times New Roman" w:hAnsi="Times New Roman" w:cs="Times New Roman"/>
        <w:b/>
        <w:color w:val="000000"/>
        <w:sz w:val="24"/>
        <w:szCs w:val="27"/>
        <w:lang w:val="tr-TR" w:eastAsia="tr-TR"/>
      </w:rPr>
    </w:pPr>
    <w:r w:rsidRPr="00D60756">
      <w:rPr>
        <w:rFonts w:ascii="Times New Roman" w:eastAsia="Times New Roman" w:hAnsi="Times New Roman" w:cs="Times New Roman"/>
        <w:b/>
        <w:color w:val="000000"/>
        <w:sz w:val="24"/>
        <w:szCs w:val="27"/>
        <w:lang w:val="tr-TR" w:eastAsia="tr-TR"/>
      </w:rPr>
      <w:t xml:space="preserve">Esas </w:t>
    </w:r>
    <w:proofErr w:type="gramStart"/>
    <w:r w:rsidRPr="00D60756">
      <w:rPr>
        <w:rFonts w:ascii="Times New Roman" w:eastAsia="Times New Roman" w:hAnsi="Times New Roman" w:cs="Times New Roman"/>
        <w:b/>
        <w:color w:val="000000"/>
        <w:sz w:val="24"/>
        <w:szCs w:val="27"/>
        <w:lang w:val="tr-TR" w:eastAsia="tr-TR"/>
      </w:rPr>
      <w:t>Sayısı : 1991</w:t>
    </w:r>
    <w:proofErr w:type="gramEnd"/>
    <w:r w:rsidRPr="00D60756">
      <w:rPr>
        <w:rFonts w:ascii="Times New Roman" w:eastAsia="Times New Roman" w:hAnsi="Times New Roman" w:cs="Times New Roman"/>
        <w:b/>
        <w:color w:val="000000"/>
        <w:sz w:val="24"/>
        <w:szCs w:val="27"/>
        <w:lang w:val="tr-TR" w:eastAsia="tr-TR"/>
      </w:rPr>
      <w:t>/4</w:t>
    </w:r>
  </w:p>
  <w:p w:rsidR="00D137D4" w:rsidRPr="00D60756" w:rsidRDefault="00D137D4" w:rsidP="00D137D4">
    <w:pPr>
      <w:spacing w:after="0" w:line="240" w:lineRule="auto"/>
      <w:jc w:val="both"/>
      <w:rPr>
        <w:rFonts w:ascii="Times New Roman" w:eastAsia="Times New Roman" w:hAnsi="Times New Roman" w:cs="Times New Roman"/>
        <w:b/>
        <w:color w:val="000000"/>
        <w:sz w:val="24"/>
        <w:szCs w:val="27"/>
        <w:lang w:val="tr-TR" w:eastAsia="tr-TR"/>
      </w:rPr>
    </w:pPr>
    <w:r w:rsidRPr="00D60756">
      <w:rPr>
        <w:rFonts w:ascii="Times New Roman" w:eastAsia="Times New Roman" w:hAnsi="Times New Roman" w:cs="Times New Roman"/>
        <w:b/>
        <w:color w:val="000000"/>
        <w:sz w:val="24"/>
        <w:szCs w:val="27"/>
        <w:lang w:val="tr-TR" w:eastAsia="tr-TR"/>
      </w:rPr>
      <w:t>Karar Sayısı: 1991/45</w:t>
    </w:r>
  </w:p>
  <w:p w:rsidR="00D137D4" w:rsidRPr="00D137D4" w:rsidRDefault="00D137D4" w:rsidP="00D137D4">
    <w:pPr>
      <w:pStyle w:val="stbilgi"/>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7D4" w:rsidRDefault="00D137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D4"/>
    <w:rsid w:val="007D70D8"/>
    <w:rsid w:val="00A040FC"/>
    <w:rsid w:val="00BF1E61"/>
    <w:rsid w:val="00CE160E"/>
    <w:rsid w:val="00D137D4"/>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030858B-B33E-4A7E-9D5E-0843C27D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D137D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137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137D4"/>
    <w:rPr>
      <w:lang w:val="en-US"/>
    </w:rPr>
  </w:style>
  <w:style w:type="character" w:styleId="SayfaNumaras">
    <w:name w:val="page number"/>
    <w:basedOn w:val="VarsaylanParagrafYazTipi"/>
    <w:uiPriority w:val="99"/>
    <w:semiHidden/>
    <w:unhideWhenUsed/>
    <w:rsid w:val="00D13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2018-12-13T08:17:00Z</dcterms:created>
  <dcterms:modified xsi:type="dcterms:W3CDTF">2018-12-13T08:17:00Z</dcterms:modified>
</cp:coreProperties>
</file>