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F2C" w:rsidRPr="00993F2C" w:rsidRDefault="00993F2C" w:rsidP="00993F2C">
      <w:pPr>
        <w:pStyle w:val="NormalWeb"/>
        <w:ind w:firstLine="709"/>
        <w:jc w:val="both"/>
        <w:rPr>
          <w:color w:val="000000"/>
          <w:szCs w:val="27"/>
        </w:rPr>
      </w:pPr>
      <w:r w:rsidRPr="00993F2C">
        <w:rPr>
          <w:color w:val="000000"/>
          <w:szCs w:val="27"/>
        </w:rPr>
        <w:t>"...</w:t>
      </w:r>
      <w:bookmarkStart w:id="0" w:name="_GoBack"/>
      <w:bookmarkEnd w:id="0"/>
    </w:p>
    <w:p w:rsidR="00993F2C" w:rsidRPr="00993F2C" w:rsidRDefault="00993F2C" w:rsidP="00993F2C">
      <w:pPr>
        <w:pStyle w:val="NormalWeb"/>
        <w:ind w:firstLine="709"/>
        <w:jc w:val="both"/>
        <w:rPr>
          <w:color w:val="000000"/>
          <w:szCs w:val="27"/>
        </w:rPr>
      </w:pPr>
      <w:r w:rsidRPr="00993F2C">
        <w:rPr>
          <w:color w:val="000000"/>
          <w:szCs w:val="27"/>
        </w:rPr>
        <w:t xml:space="preserve">I - İptal İsteminin </w:t>
      </w:r>
      <w:proofErr w:type="gramStart"/>
      <w:r w:rsidRPr="00993F2C">
        <w:rPr>
          <w:color w:val="000000"/>
          <w:szCs w:val="27"/>
        </w:rPr>
        <w:t>Gerekçesi :</w:t>
      </w:r>
      <w:proofErr w:type="gramEnd"/>
    </w:p>
    <w:p w:rsidR="00993F2C" w:rsidRPr="00993F2C" w:rsidRDefault="00993F2C" w:rsidP="00993F2C">
      <w:pPr>
        <w:pStyle w:val="NormalWeb"/>
        <w:ind w:firstLine="709"/>
        <w:jc w:val="both"/>
        <w:rPr>
          <w:color w:val="000000"/>
          <w:szCs w:val="27"/>
        </w:rPr>
      </w:pPr>
      <w:r w:rsidRPr="00993F2C">
        <w:rPr>
          <w:color w:val="000000"/>
          <w:szCs w:val="27"/>
        </w:rPr>
        <w:t xml:space="preserve">Dava dilekçesinde; Anayasa'da yer alan kanun hükmünde kararname kurumuna, özellikle Hükümetin kanun hükmünde kararname çıkarmak yetkisiyle donatılması nedenlerine ve sözü edilen kararnamelerin ülkemizdeki uygulamasına kısaca değişildikten sonra </w:t>
      </w:r>
      <w:proofErr w:type="gramStart"/>
      <w:r w:rsidRPr="00993F2C">
        <w:rPr>
          <w:color w:val="000000"/>
          <w:szCs w:val="27"/>
        </w:rPr>
        <w:t>özetle :</w:t>
      </w:r>
      <w:proofErr w:type="gramEnd"/>
    </w:p>
    <w:p w:rsidR="00993F2C" w:rsidRPr="00993F2C" w:rsidRDefault="00993F2C" w:rsidP="00993F2C">
      <w:pPr>
        <w:pStyle w:val="NormalWeb"/>
        <w:ind w:firstLine="709"/>
        <w:jc w:val="both"/>
        <w:rPr>
          <w:color w:val="000000"/>
          <w:szCs w:val="27"/>
        </w:rPr>
      </w:pPr>
      <w:proofErr w:type="gramStart"/>
      <w:r w:rsidRPr="00993F2C">
        <w:rPr>
          <w:color w:val="000000"/>
          <w:szCs w:val="27"/>
        </w:rPr>
        <w:t>12/3/1986</w:t>
      </w:r>
      <w:proofErr w:type="gramEnd"/>
      <w:r w:rsidRPr="00993F2C">
        <w:rPr>
          <w:color w:val="000000"/>
          <w:szCs w:val="27"/>
        </w:rPr>
        <w:t xml:space="preserve"> günlü, 3268 sayılı Kanun ile 657 sayılı Devlet Memurları Kanunu kapsamına giren memurlarla diğer kamu görevlilerinin idari, mali sosyal haklarında değişiklik yapma yetkisi alınmıştır. 657 sayılı Kanun, "mal bildirimi", "müracaat, şikayet ve dava açma hakkı" ve "devlet memurluğuna alınma" gibi hakları 12</w:t>
      </w:r>
      <w:proofErr w:type="gramStart"/>
      <w:r w:rsidRPr="00993F2C">
        <w:rPr>
          <w:color w:val="000000"/>
          <w:szCs w:val="27"/>
        </w:rPr>
        <w:t>.,</w:t>
      </w:r>
      <w:proofErr w:type="gramEnd"/>
      <w:r w:rsidRPr="00993F2C">
        <w:rPr>
          <w:color w:val="000000"/>
          <w:szCs w:val="27"/>
        </w:rPr>
        <w:t xml:space="preserve"> 21. ve 46. ila 57. maddelerinde düzenlenmiştir. Bu haklar, Anayasa'da "hizmete girme" (Md. 70), "mal bildirimi" (Md. 71), "dilekçe hakkı" (Md. 74) gibi siyasi haklar ve ödevlerle ilgili bulunmaktadır. Sıkıyönetim ve olağanüstü haller ayrık olmak üzere, bu hakların iyileştirme maksadıyla da olsa kanun hükmünde kararnameyle düzenlenemeyeceği, bu nedenle söz konusu olanağı Hükümete tanıyan yetki kanununun 2. maddesinin (a) bendi hükmünün Anayasa'nın 91. maddesine;</w:t>
      </w:r>
    </w:p>
    <w:p w:rsidR="00993F2C" w:rsidRPr="00993F2C" w:rsidRDefault="00993F2C" w:rsidP="00993F2C">
      <w:pPr>
        <w:pStyle w:val="NormalWeb"/>
        <w:ind w:firstLine="709"/>
        <w:jc w:val="both"/>
        <w:rPr>
          <w:color w:val="000000"/>
          <w:szCs w:val="27"/>
        </w:rPr>
      </w:pPr>
      <w:r w:rsidRPr="00993F2C">
        <w:rPr>
          <w:color w:val="000000"/>
          <w:szCs w:val="27"/>
        </w:rPr>
        <w:t xml:space="preserve">İptali istenen yasanın 2. maddesinin (d) bendi ile </w:t>
      </w:r>
      <w:proofErr w:type="gramStart"/>
      <w:r w:rsidRPr="00993F2C">
        <w:rPr>
          <w:color w:val="000000"/>
          <w:szCs w:val="27"/>
        </w:rPr>
        <w:t>hakim</w:t>
      </w:r>
      <w:proofErr w:type="gramEnd"/>
      <w:r w:rsidRPr="00993F2C">
        <w:rPr>
          <w:color w:val="000000"/>
          <w:szCs w:val="27"/>
        </w:rPr>
        <w:t xml:space="preserve"> ve savcıların da idari, mali ve sosyal haklarının bütününde değişiklik yapma yetkisi alınmıştır. Böyle bir yetkiye dayanılarak kanun hükmünde kararname ile yapılacak düzenlemeler. Anayasa güvencesine bağlanmış olan mahkemelerin bağımsızlığı, </w:t>
      </w:r>
      <w:proofErr w:type="gramStart"/>
      <w:r w:rsidRPr="00993F2C">
        <w:rPr>
          <w:color w:val="000000"/>
          <w:szCs w:val="27"/>
        </w:rPr>
        <w:t>hakimlik</w:t>
      </w:r>
      <w:proofErr w:type="gramEnd"/>
      <w:r w:rsidRPr="00993F2C">
        <w:rPr>
          <w:color w:val="000000"/>
          <w:szCs w:val="27"/>
        </w:rPr>
        <w:t xml:space="preserve"> ve savcılık teminatı ilkeleriyle çelişir. Öte yandan hakim ve savcıların kadro, izin, nakil, disiplin ve meslekte ilerleme gibi temel özlük hakları ile ilgili ve kanunla düzenlenmesi Anayasa buyruğu olan hususların kararnameyle düzenlenmesine olanak sağlayan (d) bendi hükmü ile 1. maddede yer alan "idari" sözcüğünün Anayasa'nın 138</w:t>
      </w:r>
      <w:proofErr w:type="gramStart"/>
      <w:r w:rsidRPr="00993F2C">
        <w:rPr>
          <w:color w:val="000000"/>
          <w:szCs w:val="27"/>
        </w:rPr>
        <w:t>.,</w:t>
      </w:r>
      <w:proofErr w:type="gramEnd"/>
      <w:r w:rsidRPr="00993F2C">
        <w:rPr>
          <w:color w:val="000000"/>
          <w:szCs w:val="27"/>
        </w:rPr>
        <w:t xml:space="preserve"> 139. ve 140. maddelerine;</w:t>
      </w:r>
    </w:p>
    <w:p w:rsidR="00993F2C" w:rsidRPr="00993F2C" w:rsidRDefault="00993F2C" w:rsidP="00993F2C">
      <w:pPr>
        <w:pStyle w:val="NormalWeb"/>
        <w:ind w:firstLine="709"/>
        <w:jc w:val="both"/>
        <w:rPr>
          <w:color w:val="000000"/>
          <w:szCs w:val="27"/>
        </w:rPr>
      </w:pPr>
      <w:proofErr w:type="gramStart"/>
      <w:r w:rsidRPr="00993F2C">
        <w:rPr>
          <w:color w:val="000000"/>
          <w:szCs w:val="27"/>
        </w:rPr>
        <w:t xml:space="preserve">2. maddenin (m) bendi hükmüyle de Hükümete, "Diğer Kanun ve Kanun Hükmünde Kararnamelerin Devlet memurları ile diğer kamu görevlilerinin idari, mali ve sosyal hakları ile ilgili hükümlerinde" yeni düzenleme ve değişiklik yapma yetkisi tanınmış olması, Anayasa'nın 91. maddesinde öngörülen, çıkarılacak kararnamenin kapsamım belirlemenin de ötesinde toptan yetki devri anlamına gelir. </w:t>
      </w:r>
      <w:proofErr w:type="gramEnd"/>
      <w:r w:rsidRPr="00993F2C">
        <w:rPr>
          <w:color w:val="000000"/>
          <w:szCs w:val="27"/>
        </w:rPr>
        <w:t>Bunun da Anayasa'nın yasama yetkisinin devredilemeyeceğine ilişkin hükmüne ve 91. maddesine;</w:t>
      </w:r>
    </w:p>
    <w:p w:rsidR="00993F2C" w:rsidRPr="00993F2C" w:rsidRDefault="00993F2C" w:rsidP="00993F2C">
      <w:pPr>
        <w:pStyle w:val="NormalWeb"/>
        <w:ind w:firstLine="709"/>
        <w:jc w:val="both"/>
        <w:rPr>
          <w:color w:val="000000"/>
          <w:szCs w:val="27"/>
        </w:rPr>
      </w:pPr>
      <w:r w:rsidRPr="00993F2C">
        <w:rPr>
          <w:color w:val="000000"/>
          <w:szCs w:val="27"/>
        </w:rPr>
        <w:t>Aykırı olduğu ileri sürülmüştür.</w:t>
      </w:r>
      <w:r w:rsidRPr="00993F2C">
        <w:rPr>
          <w:color w:val="000000"/>
          <w:szCs w:val="27"/>
        </w:rPr>
        <w:t>"</w:t>
      </w:r>
    </w:p>
    <w:p w:rsidR="00F74073" w:rsidRPr="00993F2C" w:rsidRDefault="00F74073" w:rsidP="00993F2C">
      <w:pPr>
        <w:spacing w:before="100" w:beforeAutospacing="1" w:after="100" w:afterAutospacing="1" w:line="240" w:lineRule="auto"/>
        <w:ind w:firstLine="709"/>
        <w:jc w:val="both"/>
        <w:rPr>
          <w:rFonts w:ascii="Times New Roman" w:hAnsi="Times New Roman" w:cs="Times New Roman"/>
          <w:sz w:val="24"/>
        </w:rPr>
      </w:pPr>
    </w:p>
    <w:sectPr w:rsidR="00F74073" w:rsidRPr="00993F2C">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F2C" w:rsidRDefault="00993F2C" w:rsidP="00993F2C">
      <w:pPr>
        <w:spacing w:after="0" w:line="240" w:lineRule="auto"/>
      </w:pPr>
      <w:r>
        <w:separator/>
      </w:r>
    </w:p>
  </w:endnote>
  <w:endnote w:type="continuationSeparator" w:id="0">
    <w:p w:rsidR="00993F2C" w:rsidRDefault="00993F2C" w:rsidP="00993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F2C" w:rsidRDefault="00993F2C" w:rsidP="0061340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93F2C" w:rsidRDefault="00993F2C" w:rsidP="00993F2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F2C" w:rsidRPr="00993F2C" w:rsidRDefault="00993F2C" w:rsidP="00613404">
    <w:pPr>
      <w:pStyle w:val="Altbilgi"/>
      <w:framePr w:wrap="around" w:vAnchor="text" w:hAnchor="margin" w:xAlign="right" w:y="1"/>
      <w:rPr>
        <w:rStyle w:val="SayfaNumaras"/>
        <w:rFonts w:ascii="Times New Roman" w:hAnsi="Times New Roman" w:cs="Times New Roman"/>
      </w:rPr>
    </w:pPr>
    <w:r w:rsidRPr="00993F2C">
      <w:rPr>
        <w:rStyle w:val="SayfaNumaras"/>
        <w:rFonts w:ascii="Times New Roman" w:hAnsi="Times New Roman" w:cs="Times New Roman"/>
      </w:rPr>
      <w:fldChar w:fldCharType="begin"/>
    </w:r>
    <w:r w:rsidRPr="00993F2C">
      <w:rPr>
        <w:rStyle w:val="SayfaNumaras"/>
        <w:rFonts w:ascii="Times New Roman" w:hAnsi="Times New Roman" w:cs="Times New Roman"/>
      </w:rPr>
      <w:instrText xml:space="preserve">PAGE  </w:instrText>
    </w:r>
    <w:r w:rsidRPr="00993F2C">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993F2C">
      <w:rPr>
        <w:rStyle w:val="SayfaNumaras"/>
        <w:rFonts w:ascii="Times New Roman" w:hAnsi="Times New Roman" w:cs="Times New Roman"/>
      </w:rPr>
      <w:fldChar w:fldCharType="end"/>
    </w:r>
  </w:p>
  <w:p w:rsidR="00993F2C" w:rsidRPr="00993F2C" w:rsidRDefault="00993F2C" w:rsidP="00993F2C">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F2C" w:rsidRDefault="00993F2C" w:rsidP="00993F2C">
      <w:pPr>
        <w:spacing w:after="0" w:line="240" w:lineRule="auto"/>
      </w:pPr>
      <w:r>
        <w:separator/>
      </w:r>
    </w:p>
  </w:footnote>
  <w:footnote w:type="continuationSeparator" w:id="0">
    <w:p w:rsidR="00993F2C" w:rsidRDefault="00993F2C" w:rsidP="00993F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F2C" w:rsidRPr="00F44FC8" w:rsidRDefault="00993F2C" w:rsidP="00993F2C">
    <w:pPr>
      <w:spacing w:after="0" w:line="240" w:lineRule="auto"/>
      <w:jc w:val="both"/>
      <w:rPr>
        <w:rFonts w:ascii="Times New Roman" w:eastAsia="Times New Roman" w:hAnsi="Times New Roman" w:cs="Times New Roman"/>
        <w:b/>
        <w:color w:val="000000"/>
        <w:sz w:val="24"/>
        <w:szCs w:val="27"/>
        <w:lang w:val="tr-TR" w:eastAsia="tr-TR"/>
      </w:rPr>
    </w:pPr>
    <w:r w:rsidRPr="00F44FC8">
      <w:rPr>
        <w:rFonts w:ascii="Times New Roman" w:eastAsia="Times New Roman" w:hAnsi="Times New Roman" w:cs="Times New Roman"/>
        <w:b/>
        <w:color w:val="000000"/>
        <w:sz w:val="24"/>
        <w:szCs w:val="27"/>
        <w:lang w:val="tr-TR" w:eastAsia="tr-TR"/>
      </w:rPr>
      <w:t xml:space="preserve">Esas </w:t>
    </w:r>
    <w:proofErr w:type="gramStart"/>
    <w:r w:rsidRPr="00F44FC8">
      <w:rPr>
        <w:rFonts w:ascii="Times New Roman" w:eastAsia="Times New Roman" w:hAnsi="Times New Roman" w:cs="Times New Roman"/>
        <w:b/>
        <w:color w:val="000000"/>
        <w:sz w:val="24"/>
        <w:szCs w:val="27"/>
        <w:lang w:val="tr-TR" w:eastAsia="tr-TR"/>
      </w:rPr>
      <w:t>Sayısı : 1986</w:t>
    </w:r>
    <w:proofErr w:type="gramEnd"/>
    <w:r w:rsidRPr="00F44FC8">
      <w:rPr>
        <w:rFonts w:ascii="Times New Roman" w:eastAsia="Times New Roman" w:hAnsi="Times New Roman" w:cs="Times New Roman"/>
        <w:b/>
        <w:color w:val="000000"/>
        <w:sz w:val="24"/>
        <w:szCs w:val="27"/>
        <w:lang w:val="tr-TR" w:eastAsia="tr-TR"/>
      </w:rPr>
      <w:t>/15</w:t>
    </w:r>
  </w:p>
  <w:p w:rsidR="00993F2C" w:rsidRPr="00F44FC8" w:rsidRDefault="00993F2C" w:rsidP="00993F2C">
    <w:pPr>
      <w:spacing w:after="0" w:line="240" w:lineRule="auto"/>
      <w:jc w:val="both"/>
      <w:rPr>
        <w:rFonts w:ascii="Times New Roman" w:eastAsia="Times New Roman" w:hAnsi="Times New Roman" w:cs="Times New Roman"/>
        <w:b/>
        <w:color w:val="000000"/>
        <w:sz w:val="24"/>
        <w:szCs w:val="27"/>
        <w:lang w:val="tr-TR" w:eastAsia="tr-TR"/>
      </w:rPr>
    </w:pPr>
    <w:r w:rsidRPr="00F44FC8">
      <w:rPr>
        <w:rFonts w:ascii="Times New Roman" w:eastAsia="Times New Roman" w:hAnsi="Times New Roman" w:cs="Times New Roman"/>
        <w:b/>
        <w:color w:val="000000"/>
        <w:sz w:val="24"/>
        <w:szCs w:val="27"/>
        <w:lang w:val="tr-TR" w:eastAsia="tr-TR"/>
      </w:rPr>
      <w:t xml:space="preserve">Karar </w:t>
    </w:r>
    <w:proofErr w:type="gramStart"/>
    <w:r w:rsidRPr="00F44FC8">
      <w:rPr>
        <w:rFonts w:ascii="Times New Roman" w:eastAsia="Times New Roman" w:hAnsi="Times New Roman" w:cs="Times New Roman"/>
        <w:b/>
        <w:color w:val="000000"/>
        <w:sz w:val="24"/>
        <w:szCs w:val="27"/>
        <w:lang w:val="tr-TR" w:eastAsia="tr-TR"/>
      </w:rPr>
      <w:t>Sayısı : 1987</w:t>
    </w:r>
    <w:proofErr w:type="gramEnd"/>
    <w:r w:rsidRPr="00F44FC8">
      <w:rPr>
        <w:rFonts w:ascii="Times New Roman" w:eastAsia="Times New Roman" w:hAnsi="Times New Roman" w:cs="Times New Roman"/>
        <w:b/>
        <w:color w:val="000000"/>
        <w:sz w:val="24"/>
        <w:szCs w:val="27"/>
        <w:lang w:val="tr-TR" w:eastAsia="tr-TR"/>
      </w:rPr>
      <w:t>/1</w:t>
    </w:r>
  </w:p>
  <w:p w:rsidR="00993F2C" w:rsidRPr="00993F2C" w:rsidRDefault="00993F2C" w:rsidP="00993F2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F2C"/>
    <w:rsid w:val="007D70D8"/>
    <w:rsid w:val="00993F2C"/>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EDD3C0-607C-46B6-84C3-024B09831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993F2C"/>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993F2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93F2C"/>
    <w:rPr>
      <w:lang w:val="en-US"/>
    </w:rPr>
  </w:style>
  <w:style w:type="character" w:styleId="SayfaNumaras">
    <w:name w:val="page number"/>
    <w:basedOn w:val="VarsaylanParagrafYazTipi"/>
    <w:uiPriority w:val="99"/>
    <w:semiHidden/>
    <w:unhideWhenUsed/>
    <w:rsid w:val="00993F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933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336</Words>
  <Characters>1920</Characters>
  <Application>Microsoft Office Word</Application>
  <DocSecurity>0</DocSecurity>
  <Lines>16</Lines>
  <Paragraphs>4</Paragraphs>
  <ScaleCrop>false</ScaleCrop>
  <Company/>
  <LinksUpToDate>false</LinksUpToDate>
  <CharactersWithSpaces>2252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2018-12-06T07:02:00Z</dcterms:created>
  <dcterms:modified xsi:type="dcterms:W3CDTF">2018-12-06T07:03:00Z</dcterms:modified>
</cp:coreProperties>
</file>