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3A" w:rsidRPr="0084703A" w:rsidRDefault="0084703A" w:rsidP="0084703A">
      <w:pPr>
        <w:pStyle w:val="NormalWeb"/>
        <w:ind w:firstLine="709"/>
        <w:jc w:val="both"/>
        <w:rPr>
          <w:color w:val="000000"/>
          <w:szCs w:val="27"/>
        </w:rPr>
      </w:pPr>
      <w:r w:rsidRPr="0084703A">
        <w:rPr>
          <w:color w:val="000000"/>
          <w:szCs w:val="27"/>
        </w:rPr>
        <w:t>"...</w:t>
      </w:r>
      <w:bookmarkStart w:id="0" w:name="_GoBack"/>
      <w:bookmarkEnd w:id="0"/>
    </w:p>
    <w:p w:rsidR="0084703A" w:rsidRPr="0084703A" w:rsidRDefault="0084703A" w:rsidP="0084703A">
      <w:pPr>
        <w:pStyle w:val="NormalWeb"/>
        <w:ind w:firstLine="709"/>
        <w:jc w:val="both"/>
        <w:rPr>
          <w:color w:val="000000"/>
          <w:szCs w:val="27"/>
        </w:rPr>
      </w:pPr>
      <w:r w:rsidRPr="0084703A">
        <w:rPr>
          <w:color w:val="000000"/>
          <w:szCs w:val="27"/>
        </w:rPr>
        <w:t xml:space="preserve">II- İtirazın </w:t>
      </w:r>
      <w:proofErr w:type="gramStart"/>
      <w:r w:rsidRPr="0084703A">
        <w:rPr>
          <w:color w:val="000000"/>
          <w:szCs w:val="27"/>
        </w:rPr>
        <w:t>Gerekçesi :</w:t>
      </w:r>
      <w:proofErr w:type="gramEnd"/>
    </w:p>
    <w:p w:rsidR="0084703A" w:rsidRPr="0084703A" w:rsidRDefault="0084703A" w:rsidP="0084703A">
      <w:pPr>
        <w:pStyle w:val="NormalWeb"/>
        <w:ind w:firstLine="709"/>
        <w:jc w:val="both"/>
        <w:rPr>
          <w:color w:val="000000"/>
          <w:szCs w:val="27"/>
        </w:rPr>
      </w:pPr>
      <w:r w:rsidRPr="0084703A">
        <w:rPr>
          <w:color w:val="000000"/>
          <w:szCs w:val="27"/>
        </w:rPr>
        <w:t>Başvuran Mahkeme, davalılardan birinin vekili tarafından öne sürülen Anayasa'ya aykırılık iddiasını aynen benimsemiştir. Bu iddialar özetle şöyledir: Davada uygulanması istenilen hükümler, hukukun genel kurallarına Anayasa'nın eşitlik ilkesine ve adalet kavramına ters düşmektedir.</w:t>
      </w:r>
    </w:p>
    <w:p w:rsidR="0084703A" w:rsidRPr="0084703A" w:rsidRDefault="0084703A" w:rsidP="0084703A">
      <w:pPr>
        <w:pStyle w:val="NormalWeb"/>
        <w:ind w:firstLine="709"/>
        <w:jc w:val="both"/>
        <w:rPr>
          <w:color w:val="000000"/>
          <w:szCs w:val="27"/>
        </w:rPr>
      </w:pPr>
      <w:r w:rsidRPr="0084703A">
        <w:rPr>
          <w:color w:val="000000"/>
          <w:szCs w:val="27"/>
        </w:rPr>
        <w:t>3182 sayılı Kanunun 64. Maddesinin 3. Fıkrasının uygulanmasının idarenin takdirine bırakılması, eşitlik ilkesini zedelediği gibi, Anayasa'nın özüne de aykırı bulunmaktadır.</w:t>
      </w:r>
    </w:p>
    <w:p w:rsidR="0084703A" w:rsidRPr="0084703A" w:rsidRDefault="0084703A" w:rsidP="0084703A">
      <w:pPr>
        <w:pStyle w:val="NormalWeb"/>
        <w:ind w:firstLine="709"/>
        <w:jc w:val="both"/>
        <w:rPr>
          <w:color w:val="000000"/>
          <w:szCs w:val="27"/>
        </w:rPr>
      </w:pPr>
      <w:r w:rsidRPr="0084703A">
        <w:rPr>
          <w:color w:val="000000"/>
          <w:szCs w:val="27"/>
        </w:rPr>
        <w:t>Öte yandan itiraz konusu hükümler objektiflikten uzak olup, yargıya müdahale niteliğini de taşımaktadır.</w:t>
      </w:r>
      <w:r w:rsidRPr="0084703A">
        <w:rPr>
          <w:color w:val="000000"/>
          <w:szCs w:val="27"/>
        </w:rPr>
        <w:t>"</w:t>
      </w:r>
    </w:p>
    <w:p w:rsidR="00F74073" w:rsidRPr="0084703A" w:rsidRDefault="00F74073" w:rsidP="0084703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84703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3A" w:rsidRDefault="0084703A" w:rsidP="0084703A">
      <w:pPr>
        <w:spacing w:after="0" w:line="240" w:lineRule="auto"/>
      </w:pPr>
      <w:r>
        <w:separator/>
      </w:r>
    </w:p>
  </w:endnote>
  <w:endnote w:type="continuationSeparator" w:id="0">
    <w:p w:rsidR="0084703A" w:rsidRDefault="0084703A" w:rsidP="0084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3A" w:rsidRDefault="0084703A" w:rsidP="001C023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4703A" w:rsidRDefault="0084703A" w:rsidP="0084703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3A" w:rsidRPr="0084703A" w:rsidRDefault="0084703A" w:rsidP="001C023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4703A">
      <w:rPr>
        <w:rStyle w:val="SayfaNumaras"/>
        <w:rFonts w:ascii="Times New Roman" w:hAnsi="Times New Roman" w:cs="Times New Roman"/>
      </w:rPr>
      <w:fldChar w:fldCharType="begin"/>
    </w:r>
    <w:r w:rsidRPr="0084703A">
      <w:rPr>
        <w:rStyle w:val="SayfaNumaras"/>
        <w:rFonts w:ascii="Times New Roman" w:hAnsi="Times New Roman" w:cs="Times New Roman"/>
      </w:rPr>
      <w:instrText xml:space="preserve">PAGE  </w:instrText>
    </w:r>
    <w:r w:rsidRPr="0084703A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4703A">
      <w:rPr>
        <w:rStyle w:val="SayfaNumaras"/>
        <w:rFonts w:ascii="Times New Roman" w:hAnsi="Times New Roman" w:cs="Times New Roman"/>
      </w:rPr>
      <w:fldChar w:fldCharType="end"/>
    </w:r>
  </w:p>
  <w:p w:rsidR="0084703A" w:rsidRPr="0084703A" w:rsidRDefault="0084703A" w:rsidP="0084703A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3A" w:rsidRDefault="0084703A" w:rsidP="0084703A">
      <w:pPr>
        <w:spacing w:after="0" w:line="240" w:lineRule="auto"/>
      </w:pPr>
      <w:r>
        <w:separator/>
      </w:r>
    </w:p>
  </w:footnote>
  <w:footnote w:type="continuationSeparator" w:id="0">
    <w:p w:rsidR="0084703A" w:rsidRDefault="0084703A" w:rsidP="0084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3A" w:rsidRPr="005F6A36" w:rsidRDefault="0084703A" w:rsidP="0084703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5F6A3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5F6A3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1985</w:t>
    </w:r>
    <w:proofErr w:type="gramEnd"/>
    <w:r w:rsidRPr="005F6A3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/17</w:t>
    </w:r>
  </w:p>
  <w:p w:rsidR="0084703A" w:rsidRPr="005F6A36" w:rsidRDefault="0084703A" w:rsidP="0084703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5F6A3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Karar Sayısı: 1986/6</w:t>
    </w:r>
  </w:p>
  <w:p w:rsidR="0084703A" w:rsidRPr="0084703A" w:rsidRDefault="0084703A" w:rsidP="008470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A"/>
    <w:rsid w:val="007D70D8"/>
    <w:rsid w:val="0084703A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2098-972B-4E81-8482-D211B2F3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4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4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03A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4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2018-12-06T06:47:00Z</dcterms:created>
  <dcterms:modified xsi:type="dcterms:W3CDTF">2018-12-06T06:47:00Z</dcterms:modified>
</cp:coreProperties>
</file>