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251" w:rsidRPr="00CA4251" w:rsidRDefault="00CA4251" w:rsidP="00CA4251">
      <w:pPr>
        <w:pStyle w:val="NormalWeb"/>
        <w:ind w:firstLine="709"/>
        <w:jc w:val="both"/>
        <w:rPr>
          <w:color w:val="000000"/>
          <w:szCs w:val="27"/>
        </w:rPr>
      </w:pPr>
      <w:r w:rsidRPr="00CA4251">
        <w:rPr>
          <w:color w:val="000000"/>
          <w:szCs w:val="27"/>
        </w:rPr>
        <w:t>"...</w:t>
      </w:r>
      <w:r w:rsidR="00790200">
        <w:rPr>
          <w:color w:val="000000"/>
          <w:szCs w:val="27"/>
        </w:rPr>
        <w:t xml:space="preserve"> </w:t>
      </w:r>
      <w:bookmarkStart w:id="0" w:name="_GoBack"/>
      <w:bookmarkEnd w:id="0"/>
    </w:p>
    <w:p w:rsidR="00CA4251" w:rsidRPr="00CA4251" w:rsidRDefault="00CA4251" w:rsidP="00CA4251">
      <w:pPr>
        <w:pStyle w:val="NormalWeb"/>
        <w:ind w:firstLine="709"/>
        <w:jc w:val="both"/>
        <w:rPr>
          <w:color w:val="000000"/>
          <w:szCs w:val="27"/>
        </w:rPr>
      </w:pPr>
      <w:r w:rsidRPr="00CA4251">
        <w:rPr>
          <w:color w:val="000000"/>
          <w:szCs w:val="27"/>
        </w:rPr>
        <w:t xml:space="preserve">II- İTİRAZIN </w:t>
      </w:r>
      <w:proofErr w:type="gramStart"/>
      <w:r w:rsidRPr="00CA4251">
        <w:rPr>
          <w:color w:val="000000"/>
          <w:szCs w:val="27"/>
        </w:rPr>
        <w:t>GEREKÇESİ :</w:t>
      </w:r>
      <w:proofErr w:type="gramEnd"/>
    </w:p>
    <w:p w:rsidR="00CA4251" w:rsidRPr="00CA4251" w:rsidRDefault="00CA4251" w:rsidP="00CA4251">
      <w:pPr>
        <w:pStyle w:val="NormalWeb"/>
        <w:ind w:firstLine="709"/>
        <w:jc w:val="both"/>
        <w:rPr>
          <w:color w:val="000000"/>
          <w:szCs w:val="27"/>
        </w:rPr>
      </w:pPr>
      <w:r w:rsidRPr="00CA4251">
        <w:rPr>
          <w:color w:val="000000"/>
          <w:szCs w:val="27"/>
        </w:rPr>
        <w:t xml:space="preserve">Mahkemenin 26/9/1985 günlü kararının gerekçesi özetle </w:t>
      </w:r>
      <w:proofErr w:type="gramStart"/>
      <w:r w:rsidRPr="00CA4251">
        <w:rPr>
          <w:color w:val="000000"/>
          <w:szCs w:val="27"/>
        </w:rPr>
        <w:t>şöyledir : Sanıkların</w:t>
      </w:r>
      <w:proofErr w:type="gramEnd"/>
      <w:r w:rsidRPr="00CA4251">
        <w:rPr>
          <w:color w:val="000000"/>
          <w:szCs w:val="27"/>
        </w:rPr>
        <w:t xml:space="preserve">, işlettikleri kıraathanede kaçak iskambil kağıdı ele geçirilmesiyle, toplu tekel kaçakçılığı suçunu işledikleri savında bulunulmuştur. 118 sayılı Yasanın 3. maddesi tekel yönetiminin müsaadesi olmaksızın oyun </w:t>
      </w:r>
      <w:proofErr w:type="gramStart"/>
      <w:r w:rsidRPr="00CA4251">
        <w:rPr>
          <w:color w:val="000000"/>
          <w:szCs w:val="27"/>
        </w:rPr>
        <w:t>kağıdı</w:t>
      </w:r>
      <w:proofErr w:type="gramEnd"/>
      <w:r w:rsidRPr="00CA4251">
        <w:rPr>
          <w:color w:val="000000"/>
          <w:szCs w:val="27"/>
        </w:rPr>
        <w:t xml:space="preserve"> imal ve ithal edenlerden tekel resminin on mislinin alınacağını öngörmüştür. Suç sabit olursa 1918 sayılı Yasanın değişik 27/2-3. maddesi gereğince sanıklar, 8 - 12 yıl arasında ağır hapis ve resim tutarının beş misli ağır para cezası, ayrıca, 40. madde uyarınca 1 - 3 yıl arası genel güvenlik gözetim altında bulundurulma cezasıyla cezalandırılacaklardır. Bilirkişi incelemesinde iskambil </w:t>
      </w:r>
      <w:proofErr w:type="gramStart"/>
      <w:r w:rsidRPr="00CA4251">
        <w:rPr>
          <w:color w:val="000000"/>
          <w:szCs w:val="27"/>
        </w:rPr>
        <w:t>kağıtlarının</w:t>
      </w:r>
      <w:proofErr w:type="gramEnd"/>
      <w:r w:rsidRPr="00CA4251">
        <w:rPr>
          <w:color w:val="000000"/>
          <w:szCs w:val="27"/>
        </w:rPr>
        <w:t xml:space="preserve"> toplam piyasa değerinin 12.300, kullanılır durumda olanların toplam cif değerinin 600 lira olduğu saptanmıştır. </w:t>
      </w:r>
      <w:proofErr w:type="gramStart"/>
      <w:r w:rsidRPr="00CA4251">
        <w:rPr>
          <w:color w:val="000000"/>
          <w:szCs w:val="27"/>
        </w:rPr>
        <w:t xml:space="preserve">3217 sayılı Yasa ile değişmeden önce 1918 sayılı Yasanın 27. maddesi,-tekel eşyası ya da başka bir ayırım yapmadan kaçak olarak yurda sokulan tüm eşyalar için hürriyeti bağlayıcı ceza öngörmekte idi. 3217 sayılı Yasanın 4. maddesiyle eklenen dördüncü fıkra "mal veya eşyanın özel kanunlarla veya ithalat ve ihracat rejimi kararlarıyla memlekete ithal veya ihracı yasaklanmamış olmakla birlikte gümrüklenmiş piyasa değerinin otuz milyon lirayı geçmemesi ve tekele tabi maddelerden olmaması halinde, ikinci fıkradaki ağır hapis cezasına hükmedilmeyip sadece üçüncü fıkraya göre ağır para cezasına ve mal veya eşyanın müsaderesine" karar verileceği hükmünü getirmiştir. </w:t>
      </w:r>
      <w:proofErr w:type="gramEnd"/>
      <w:r w:rsidRPr="00CA4251">
        <w:rPr>
          <w:color w:val="000000"/>
          <w:szCs w:val="27"/>
        </w:rPr>
        <w:t xml:space="preserve">Böylece, tekele bağlı eşya kaçakçılığında değerine bakılmaksızın hürriyeti bağlayıcı ceza verilecek, tekele bağlı olmayan eşya kaçakçılığında ise bu ceza, ancak gümrüklenmiş piyasa değeri 30 milyon lirayı geçtiğinde uygulanabilecektir. Tekele bağlı kaçak eşyanın değeri bin lira olsa da 1918 sayılı Yasanın değişik 27/2-3. ve 40. maddeleri uygulanacak, ayrıca genel güvenlik gözetimi altında bulundurulma kararı verilecek, oysa tekele bağlı olmayan ve gümrüklenmiş piyasa değeri otuz milyon lirayı aşmayan eşya söz konusu olunca hürriyeti bağlayıcı ceza verilmeyecektir. Böylece, bu iki değer arasında aşırı fark olmasına karşın cezalar arasında değeri fazla olan eşya lehine ve az olanın aleyhine adalet ilkelerine aykırı biçimde ceza getirilmiştir. Bu durum, Anayasa'nın genel esaslarına ve eşitlik ilkesine aykırı düşmektedir. Anayasa'nın devletin temel amaç ve görevlerini belirleyen 5. maddesi ile yasa önünde herkesin eşitliğini açıklayan 10. maddesine aykırılık oluştuğundan 1918 sayılı Yasanın değişik 27. maddesine 3217 sayılı Yasa ile eklenen dördüncü fıkrasındaki "...ve tekele tabi maddelerden. </w:t>
      </w:r>
      <w:proofErr w:type="gramStart"/>
      <w:r w:rsidRPr="00CA4251">
        <w:rPr>
          <w:color w:val="000000"/>
          <w:szCs w:val="27"/>
        </w:rPr>
        <w:t>olmaması</w:t>
      </w:r>
      <w:proofErr w:type="gramEnd"/>
      <w:r w:rsidRPr="00CA4251">
        <w:rPr>
          <w:color w:val="000000"/>
          <w:szCs w:val="27"/>
        </w:rPr>
        <w:t xml:space="preserve"> halinde..." ibaresinin iptali gerekir."</w:t>
      </w:r>
    </w:p>
    <w:p w:rsidR="00F74073" w:rsidRPr="00CA4251" w:rsidRDefault="00F74073" w:rsidP="00CA4251">
      <w:pPr>
        <w:spacing w:before="100" w:beforeAutospacing="1" w:after="100" w:afterAutospacing="1" w:line="240" w:lineRule="auto"/>
        <w:ind w:firstLine="709"/>
        <w:jc w:val="both"/>
        <w:rPr>
          <w:rFonts w:ascii="Times New Roman" w:hAnsi="Times New Roman" w:cs="Times New Roman"/>
          <w:sz w:val="24"/>
        </w:rPr>
      </w:pPr>
    </w:p>
    <w:sectPr w:rsidR="00F74073" w:rsidRPr="00CA425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4E5" w:rsidRDefault="002404E5" w:rsidP="00CA4251">
      <w:pPr>
        <w:spacing w:after="0" w:line="240" w:lineRule="auto"/>
      </w:pPr>
      <w:r>
        <w:separator/>
      </w:r>
    </w:p>
  </w:endnote>
  <w:endnote w:type="continuationSeparator" w:id="0">
    <w:p w:rsidR="002404E5" w:rsidRDefault="002404E5" w:rsidP="00CA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251" w:rsidRDefault="00CA4251" w:rsidP="00715B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4251" w:rsidRDefault="00CA4251" w:rsidP="00CA425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251" w:rsidRPr="00CA4251" w:rsidRDefault="00CA4251" w:rsidP="00715BA1">
    <w:pPr>
      <w:pStyle w:val="Altbilgi"/>
      <w:framePr w:wrap="around" w:vAnchor="text" w:hAnchor="margin" w:xAlign="right" w:y="1"/>
      <w:rPr>
        <w:rStyle w:val="SayfaNumaras"/>
        <w:rFonts w:ascii="Times New Roman" w:hAnsi="Times New Roman" w:cs="Times New Roman"/>
      </w:rPr>
    </w:pPr>
    <w:r w:rsidRPr="00CA4251">
      <w:rPr>
        <w:rStyle w:val="SayfaNumaras"/>
        <w:rFonts w:ascii="Times New Roman" w:hAnsi="Times New Roman" w:cs="Times New Roman"/>
      </w:rPr>
      <w:fldChar w:fldCharType="begin"/>
    </w:r>
    <w:r w:rsidRPr="00CA4251">
      <w:rPr>
        <w:rStyle w:val="SayfaNumaras"/>
        <w:rFonts w:ascii="Times New Roman" w:hAnsi="Times New Roman" w:cs="Times New Roman"/>
      </w:rPr>
      <w:instrText xml:space="preserve">PAGE  </w:instrText>
    </w:r>
    <w:r w:rsidRPr="00CA4251">
      <w:rPr>
        <w:rStyle w:val="SayfaNumaras"/>
        <w:rFonts w:ascii="Times New Roman" w:hAnsi="Times New Roman" w:cs="Times New Roman"/>
      </w:rPr>
      <w:fldChar w:fldCharType="separate"/>
    </w:r>
    <w:r w:rsidR="00790200">
      <w:rPr>
        <w:rStyle w:val="SayfaNumaras"/>
        <w:rFonts w:ascii="Times New Roman" w:hAnsi="Times New Roman" w:cs="Times New Roman"/>
        <w:noProof/>
      </w:rPr>
      <w:t>1</w:t>
    </w:r>
    <w:r w:rsidRPr="00CA4251">
      <w:rPr>
        <w:rStyle w:val="SayfaNumaras"/>
        <w:rFonts w:ascii="Times New Roman" w:hAnsi="Times New Roman" w:cs="Times New Roman"/>
      </w:rPr>
      <w:fldChar w:fldCharType="end"/>
    </w:r>
  </w:p>
  <w:p w:rsidR="00CA4251" w:rsidRPr="00CA4251" w:rsidRDefault="00CA4251" w:rsidP="00CA425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4E5" w:rsidRDefault="002404E5" w:rsidP="00CA4251">
      <w:pPr>
        <w:spacing w:after="0" w:line="240" w:lineRule="auto"/>
      </w:pPr>
      <w:r>
        <w:separator/>
      </w:r>
    </w:p>
  </w:footnote>
  <w:footnote w:type="continuationSeparator" w:id="0">
    <w:p w:rsidR="002404E5" w:rsidRDefault="002404E5" w:rsidP="00CA4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251" w:rsidRPr="00CA4251" w:rsidRDefault="00CA4251" w:rsidP="00CA4251">
    <w:pPr>
      <w:pStyle w:val="stbilgi"/>
      <w:rPr>
        <w:rFonts w:ascii="Times New Roman" w:hAnsi="Times New Roman" w:cs="Times New Roman"/>
        <w:b/>
        <w:lang w:val="tr-TR"/>
      </w:rPr>
    </w:pPr>
    <w:r w:rsidRPr="00CA4251">
      <w:rPr>
        <w:rFonts w:ascii="Times New Roman" w:hAnsi="Times New Roman" w:cs="Times New Roman"/>
        <w:b/>
        <w:lang w:val="tr-TR"/>
      </w:rPr>
      <w:t>Esas Sayısı: 1985/31</w:t>
    </w:r>
  </w:p>
  <w:p w:rsidR="00CA4251" w:rsidRPr="00CA4251" w:rsidRDefault="00CA4251" w:rsidP="00CA4251">
    <w:pPr>
      <w:pStyle w:val="stbilgi"/>
      <w:rPr>
        <w:rFonts w:ascii="Times New Roman" w:hAnsi="Times New Roman" w:cs="Times New Roman"/>
        <w:b/>
        <w:lang w:val="tr-TR"/>
      </w:rPr>
    </w:pPr>
    <w:r w:rsidRPr="00CA4251">
      <w:rPr>
        <w:rFonts w:ascii="Times New Roman" w:hAnsi="Times New Roman" w:cs="Times New Roman"/>
        <w:b/>
        <w:lang w:val="tr-TR"/>
      </w:rPr>
      <w:t xml:space="preserve">Karar </w:t>
    </w:r>
    <w:proofErr w:type="gramStart"/>
    <w:r w:rsidRPr="00CA4251">
      <w:rPr>
        <w:rFonts w:ascii="Times New Roman" w:hAnsi="Times New Roman" w:cs="Times New Roman"/>
        <w:b/>
        <w:lang w:val="tr-TR"/>
      </w:rPr>
      <w:t>Sayısı : 1986</w:t>
    </w:r>
    <w:proofErr w:type="gramEnd"/>
    <w:r w:rsidRPr="00CA4251">
      <w:rPr>
        <w:rFonts w:ascii="Times New Roman" w:hAnsi="Times New Roman" w:cs="Times New Roman"/>
        <w:b/>
        <w:lang w:val="tr-TR"/>
      </w:rPr>
      <w:t>/11</w:t>
    </w:r>
  </w:p>
  <w:p w:rsidR="00CA4251" w:rsidRPr="00CA4251" w:rsidRDefault="00CA4251" w:rsidP="00CA42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51"/>
    <w:rsid w:val="002404E5"/>
    <w:rsid w:val="00790200"/>
    <w:rsid w:val="007D70D8"/>
    <w:rsid w:val="00A040FC"/>
    <w:rsid w:val="00CA4251"/>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C946392-4B92-473E-94DC-6116B930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A425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A42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4251"/>
    <w:rPr>
      <w:lang w:val="en-US"/>
    </w:rPr>
  </w:style>
  <w:style w:type="character" w:styleId="SayfaNumaras">
    <w:name w:val="page number"/>
    <w:basedOn w:val="VarsaylanParagrafYazTipi"/>
    <w:uiPriority w:val="99"/>
    <w:semiHidden/>
    <w:unhideWhenUsed/>
    <w:rsid w:val="00CA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0738">
      <w:bodyDiv w:val="1"/>
      <w:marLeft w:val="0"/>
      <w:marRight w:val="0"/>
      <w:marTop w:val="0"/>
      <w:marBottom w:val="0"/>
      <w:divBdr>
        <w:top w:val="none" w:sz="0" w:space="0" w:color="auto"/>
        <w:left w:val="none" w:sz="0" w:space="0" w:color="auto"/>
        <w:bottom w:val="none" w:sz="0" w:space="0" w:color="auto"/>
        <w:right w:val="none" w:sz="0" w:space="0" w:color="auto"/>
      </w:divBdr>
    </w:div>
    <w:div w:id="1208101937">
      <w:bodyDiv w:val="1"/>
      <w:marLeft w:val="0"/>
      <w:marRight w:val="0"/>
      <w:marTop w:val="0"/>
      <w:marBottom w:val="0"/>
      <w:divBdr>
        <w:top w:val="none" w:sz="0" w:space="0" w:color="auto"/>
        <w:left w:val="none" w:sz="0" w:space="0" w:color="auto"/>
        <w:bottom w:val="none" w:sz="0" w:space="0" w:color="auto"/>
        <w:right w:val="none" w:sz="0" w:space="0" w:color="auto"/>
      </w:divBdr>
    </w:div>
    <w:div w:id="1522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2018-12-03T12:41:00Z</dcterms:created>
  <dcterms:modified xsi:type="dcterms:W3CDTF">2018-12-04T12:53:00Z</dcterms:modified>
</cp:coreProperties>
</file>