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2FD" w:rsidRPr="003772FD" w:rsidRDefault="003772FD" w:rsidP="003772FD">
      <w:pPr>
        <w:spacing w:before="240" w:after="100" w:afterAutospacing="1" w:line="240" w:lineRule="auto"/>
        <w:ind w:firstLine="709"/>
        <w:jc w:val="both"/>
        <w:rPr>
          <w:rFonts w:ascii="Times New Roman" w:hAnsi="Times New Roman" w:cs="Times New Roman"/>
          <w:color w:val="010000"/>
          <w:sz w:val="24"/>
        </w:rPr>
      </w:pPr>
      <w:r w:rsidRPr="003772FD">
        <w:rPr>
          <w:rFonts w:ascii="Times New Roman" w:hAnsi="Times New Roman" w:cs="Times New Roman"/>
          <w:color w:val="010000"/>
          <w:sz w:val="24"/>
        </w:rPr>
        <w:t>“…</w:t>
      </w:r>
    </w:p>
    <w:p w:rsidR="003772FD" w:rsidRPr="003772FD" w:rsidRDefault="003772FD" w:rsidP="003772FD">
      <w:pPr>
        <w:pStyle w:val="Gvdemetni0"/>
        <w:widowControl/>
        <w:numPr>
          <w:ilvl w:val="0"/>
          <w:numId w:val="3"/>
        </w:numPr>
        <w:shd w:val="clear" w:color="auto" w:fill="auto"/>
        <w:spacing w:before="240" w:after="100" w:afterAutospacing="1" w:line="240" w:lineRule="auto"/>
        <w:ind w:left="0" w:firstLine="709"/>
        <w:jc w:val="both"/>
        <w:rPr>
          <w:rFonts w:ascii="Times New Roman" w:hAnsi="Times New Roman" w:cs="Times New Roman"/>
          <w:color w:val="010000"/>
          <w:sz w:val="24"/>
        </w:rPr>
      </w:pPr>
      <w:r w:rsidRPr="003772FD">
        <w:rPr>
          <w:rFonts w:ascii="Times New Roman" w:hAnsi="Times New Roman" w:cs="Times New Roman"/>
          <w:color w:val="010000"/>
          <w:sz w:val="24"/>
        </w:rPr>
        <w:t>İtirazın Gerekçesi:</w:t>
      </w:r>
    </w:p>
    <w:p w:rsidR="003772FD" w:rsidRPr="003772FD" w:rsidRDefault="003772FD" w:rsidP="003772FD">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rPr>
      </w:pPr>
      <w:r w:rsidRPr="003772FD">
        <w:rPr>
          <w:rFonts w:ascii="Times New Roman" w:hAnsi="Times New Roman" w:cs="Times New Roman"/>
          <w:color w:val="010000"/>
          <w:sz w:val="24"/>
        </w:rPr>
        <w:t xml:space="preserve"> Tekirdağ iş Mahkemesinin</w:t>
      </w:r>
      <w:bookmarkStart w:id="0" w:name="_GoBack"/>
      <w:bookmarkEnd w:id="0"/>
      <w:r w:rsidRPr="003772FD">
        <w:rPr>
          <w:rFonts w:ascii="Times New Roman" w:hAnsi="Times New Roman" w:cs="Times New Roman"/>
          <w:color w:val="010000"/>
          <w:sz w:val="24"/>
        </w:rPr>
        <w:t xml:space="preserve"> 14.5.1982 günlü kararında gerekçe olarak özetle:</w:t>
      </w:r>
    </w:p>
    <w:p w:rsidR="003772FD" w:rsidRPr="003772FD" w:rsidRDefault="003772FD" w:rsidP="003772FD">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8"/>
        </w:rPr>
      </w:pPr>
      <w:r w:rsidRPr="003772FD">
        <w:rPr>
          <w:rFonts w:ascii="Times New Roman" w:hAnsi="Times New Roman" w:cs="Times New Roman"/>
          <w:color w:val="010000"/>
          <w:sz w:val="24"/>
        </w:rPr>
        <w:t xml:space="preserve"> 1- Davada uygulama yeri bulan ek maddenin birinci fıkrası ile, evlenme nedeniyle sigortalı işinden ayrılan kadın işçiye kendisinin ve işvereninin o zamana kadar ödedikleri primlerin yarısının talebi hâlinde evlenme toptan ödemesi adı altında verile bilmesini temin eden hükmün getirilişinde, evlendikten sonra kadının çalışmasının kocasının iznine bağlı bulunması, kadının kocasının bulunduğu yere gitmesi zorunluğu gibi düşünceler etken olmuş fıkra hükmü ile evlenen kadara işçiye bir kolaylık gösterilmiştir. Yasa koyucunun kadın işçiler yararına getirdiği bu hükmün sonradan tekrar çalışmak zorunda kalması halinde onun zararına bir durum yaratamaması gerekir. Evlenme toptan ödemesin</w:t>
      </w:r>
      <w:r w:rsidRPr="003772FD">
        <w:rPr>
          <w:rFonts w:ascii="Times New Roman" w:hAnsi="Times New Roman" w:cs="Times New Roman"/>
          <w:color w:val="010000"/>
          <w:sz w:val="24"/>
        </w:rPr>
        <w:softHyphen/>
        <w:t>den yararlanan sigortalı kadın tekrar çalışma hayatına atıldığında BAĞKUR veya Emekli Sandığı statüsüne tabi bir işe girerse sosyal sigortada geçen hizmet süresi ne olursa olsun bu hizmetinden yararlanamayacak ve bu suretle sosyal güvenliği tehlikeye düşmüş olacaktır. Kadın işçiyi koruma amacıyla sözü edilen ek maddeyi getiren yasa koyu</w:t>
      </w:r>
      <w:r w:rsidRPr="003772FD">
        <w:rPr>
          <w:rFonts w:ascii="Times New Roman" w:hAnsi="Times New Roman" w:cs="Times New Roman"/>
          <w:color w:val="010000"/>
          <w:sz w:val="24"/>
        </w:rPr>
        <w:softHyphen/>
        <w:t xml:space="preserve">cunun böyle bir sonucu istemiş olması mümkün değildir Burada önemli </w:t>
      </w:r>
      <w:r w:rsidRPr="003772FD">
        <w:rPr>
          <w:rFonts w:ascii="Times New Roman" w:hAnsi="Times New Roman" w:cs="Times New Roman"/>
          <w:color w:val="010000"/>
          <w:sz w:val="24"/>
          <w:szCs w:val="48"/>
        </w:rPr>
        <w:t>olan husus sigortalı kadının evlilik toptan ödemesini %5 faiziyle birlikte Kuruma iade ederek eski hizmetlerinin ihya edilebilmesidir. Davacının isteği, borçlanmak suretiyle geçmiş hizmetlerini emeklilik hizmetine ilave ettirmek değil evvelce ödenen primlerin yarısını ek maddenin sağladığı imkândan yararlanarak almış olması nedeniyle askıya alınmış eski hizmetin canlandırılmasıdır. Bunu da aynı maddenin üçüncü fıkrasına dayanarak aldığı parayı faizi ile birlikte geri ver</w:t>
      </w:r>
      <w:r w:rsidRPr="003772FD">
        <w:rPr>
          <w:rFonts w:ascii="Times New Roman" w:hAnsi="Times New Roman" w:cs="Times New Roman"/>
          <w:color w:val="010000"/>
          <w:sz w:val="24"/>
          <w:szCs w:val="48"/>
        </w:rPr>
        <w:softHyphen/>
        <w:t>mek suretiyle istemektedir. Bu durumda halen bulunduğu hizmetin başka bir statüye tabi olması sonucu etkilememelidir. Zira yeni bir hak ihdası değil, evvelce kazanılmış ve fakat evlenme toptan ödemesi nedeniyle askıya alınmış hizmetin canlandırılması istenmektedir.</w:t>
      </w:r>
    </w:p>
    <w:p w:rsidR="003772FD" w:rsidRPr="003772FD" w:rsidRDefault="003772FD" w:rsidP="003772FD">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8"/>
        </w:rPr>
      </w:pPr>
      <w:r w:rsidRPr="003772FD">
        <w:rPr>
          <w:rFonts w:ascii="Times New Roman" w:hAnsi="Times New Roman" w:cs="Times New Roman"/>
          <w:color w:val="010000"/>
          <w:sz w:val="24"/>
          <w:szCs w:val="48"/>
        </w:rPr>
        <w:t xml:space="preserve"> 2- Ek maddenin üçüncü fıkrası karşısında davacının eski hizmetine canlılık kazandırabilmesi ancak memuriyetten istifası ve sigor</w:t>
      </w:r>
      <w:r w:rsidRPr="003772FD">
        <w:rPr>
          <w:rFonts w:ascii="Times New Roman" w:hAnsi="Times New Roman" w:cs="Times New Roman"/>
          <w:color w:val="010000"/>
          <w:sz w:val="24"/>
          <w:szCs w:val="48"/>
        </w:rPr>
        <w:softHyphen/>
        <w:t>talı bir işte çalışmaya başlamış olmasıyla mümkün bulunmaktadır. Ek maddede de "506 sayılı Kanuna tabi bir işe girenler" şeklindeki ibare</w:t>
      </w:r>
      <w:r w:rsidRPr="003772FD">
        <w:rPr>
          <w:rFonts w:ascii="Times New Roman" w:hAnsi="Times New Roman" w:cs="Times New Roman"/>
          <w:color w:val="010000"/>
          <w:sz w:val="24"/>
          <w:szCs w:val="48"/>
        </w:rPr>
        <w:softHyphen/>
        <w:t>nin davacıya önerdiği yol budur. Ne var ki Anayasa böyle bir duruma seyirci kalmamıştır. Şöyle ki:</w:t>
      </w:r>
    </w:p>
    <w:p w:rsidR="003772FD" w:rsidRPr="003772FD" w:rsidRDefault="003772FD" w:rsidP="003772FD">
      <w:pPr>
        <w:pStyle w:val="Gvdemetni0"/>
        <w:widowControl/>
        <w:numPr>
          <w:ilvl w:val="0"/>
          <w:numId w:val="1"/>
        </w:numPr>
        <w:shd w:val="clear" w:color="auto" w:fill="auto"/>
        <w:spacing w:before="240" w:after="100" w:afterAutospacing="1" w:line="240" w:lineRule="auto"/>
        <w:ind w:firstLine="709"/>
        <w:jc w:val="both"/>
        <w:rPr>
          <w:rFonts w:ascii="Times New Roman" w:hAnsi="Times New Roman" w:cs="Times New Roman"/>
          <w:color w:val="010000"/>
          <w:sz w:val="24"/>
          <w:szCs w:val="48"/>
        </w:rPr>
      </w:pPr>
      <w:r w:rsidRPr="003772FD">
        <w:rPr>
          <w:rFonts w:ascii="Times New Roman" w:hAnsi="Times New Roman" w:cs="Times New Roman"/>
          <w:color w:val="010000"/>
          <w:sz w:val="24"/>
          <w:szCs w:val="48"/>
        </w:rPr>
        <w:t>Davacının eski hizmetini ihya ettirmek için izlemek zorunda kalacağı yol tam bir angaryadır. Oysa Anayasa’mızın 42. maddesi angar</w:t>
      </w:r>
      <w:r w:rsidRPr="003772FD">
        <w:rPr>
          <w:rFonts w:ascii="Times New Roman" w:hAnsi="Times New Roman" w:cs="Times New Roman"/>
          <w:color w:val="010000"/>
          <w:sz w:val="24"/>
          <w:szCs w:val="48"/>
        </w:rPr>
        <w:softHyphen/>
        <w:t>yayı yasaklamıştır.</w:t>
      </w:r>
    </w:p>
    <w:p w:rsidR="003772FD" w:rsidRPr="003772FD" w:rsidRDefault="003772FD" w:rsidP="003772FD">
      <w:pPr>
        <w:pStyle w:val="Gvdemetni0"/>
        <w:widowControl/>
        <w:numPr>
          <w:ilvl w:val="0"/>
          <w:numId w:val="1"/>
        </w:numPr>
        <w:shd w:val="clear" w:color="auto" w:fill="auto"/>
        <w:spacing w:before="240" w:after="100" w:afterAutospacing="1" w:line="240" w:lineRule="auto"/>
        <w:ind w:firstLine="709"/>
        <w:jc w:val="both"/>
        <w:rPr>
          <w:rFonts w:ascii="Times New Roman" w:hAnsi="Times New Roman" w:cs="Times New Roman"/>
          <w:color w:val="010000"/>
          <w:sz w:val="24"/>
          <w:szCs w:val="48"/>
        </w:rPr>
      </w:pPr>
      <w:r w:rsidRPr="003772FD">
        <w:rPr>
          <w:rFonts w:ascii="Times New Roman" w:hAnsi="Times New Roman" w:cs="Times New Roman"/>
          <w:color w:val="010000"/>
          <w:sz w:val="24"/>
          <w:szCs w:val="48"/>
        </w:rPr>
        <w:t xml:space="preserve">Kazanılmış bir hakkın ihyasını, ikinci işin de sigortaya tabi bir iş olması şeklindeki </w:t>
      </w:r>
      <w:proofErr w:type="gramStart"/>
      <w:r w:rsidRPr="003772FD">
        <w:rPr>
          <w:rFonts w:ascii="Times New Roman" w:hAnsi="Times New Roman" w:cs="Times New Roman"/>
          <w:color w:val="010000"/>
          <w:sz w:val="24"/>
          <w:szCs w:val="48"/>
        </w:rPr>
        <w:t>sınırlamanın</w:t>
      </w:r>
      <w:proofErr w:type="gramEnd"/>
      <w:r w:rsidRPr="003772FD">
        <w:rPr>
          <w:rFonts w:ascii="Times New Roman" w:hAnsi="Times New Roman" w:cs="Times New Roman"/>
          <w:color w:val="010000"/>
          <w:sz w:val="24"/>
          <w:szCs w:val="48"/>
        </w:rPr>
        <w:t xml:space="preserve"> Anayasa’nın 10. maddesiyle geti</w:t>
      </w:r>
      <w:r w:rsidRPr="003772FD">
        <w:rPr>
          <w:rFonts w:ascii="Times New Roman" w:hAnsi="Times New Roman" w:cs="Times New Roman"/>
          <w:color w:val="010000"/>
          <w:sz w:val="24"/>
          <w:szCs w:val="48"/>
        </w:rPr>
        <w:softHyphen/>
        <w:t>rilen "Devlet, kişinin temel hak ve hürriyetlerini, fert huzuru, sos</w:t>
      </w:r>
      <w:r w:rsidRPr="003772FD">
        <w:rPr>
          <w:rFonts w:ascii="Times New Roman" w:hAnsi="Times New Roman" w:cs="Times New Roman"/>
          <w:color w:val="010000"/>
          <w:sz w:val="24"/>
          <w:szCs w:val="48"/>
        </w:rPr>
        <w:softHyphen/>
        <w:t>yal adalet ve hukuk devleti ilkeleriyle bağdaşmayacak surette sınırla</w:t>
      </w:r>
      <w:r w:rsidRPr="003772FD">
        <w:rPr>
          <w:rFonts w:ascii="Times New Roman" w:hAnsi="Times New Roman" w:cs="Times New Roman"/>
          <w:color w:val="010000"/>
          <w:sz w:val="24"/>
          <w:szCs w:val="48"/>
        </w:rPr>
        <w:softHyphen/>
        <w:t>yan siyasi, iktisadi ve sosyal bütün engelleri kaldırır." ilkesine ters düşecektir. Kaldı ki bu sınırlamayı haklı kılacak bir kamu yararından da söz edilemez.</w:t>
      </w:r>
    </w:p>
    <w:p w:rsidR="003772FD" w:rsidRPr="003772FD" w:rsidRDefault="003772FD" w:rsidP="003772FD">
      <w:pPr>
        <w:pStyle w:val="Gvdemetni0"/>
        <w:widowControl/>
        <w:numPr>
          <w:ilvl w:val="0"/>
          <w:numId w:val="1"/>
        </w:numPr>
        <w:shd w:val="clear" w:color="auto" w:fill="auto"/>
        <w:spacing w:before="240" w:after="100" w:afterAutospacing="1" w:line="240" w:lineRule="auto"/>
        <w:ind w:firstLine="709"/>
        <w:jc w:val="both"/>
        <w:rPr>
          <w:rFonts w:ascii="Times New Roman" w:hAnsi="Times New Roman" w:cs="Times New Roman"/>
          <w:color w:val="010000"/>
          <w:sz w:val="24"/>
        </w:rPr>
      </w:pPr>
      <w:r w:rsidRPr="003772FD">
        <w:rPr>
          <w:rFonts w:ascii="Times New Roman" w:hAnsi="Times New Roman" w:cs="Times New Roman"/>
          <w:color w:val="010000"/>
          <w:sz w:val="24"/>
          <w:szCs w:val="48"/>
        </w:rPr>
        <w:t xml:space="preserve">Eski bir hizmetin ihyası imkanını tekrar sigortaya tabi bir </w:t>
      </w:r>
      <w:r w:rsidRPr="003772FD">
        <w:rPr>
          <w:rFonts w:ascii="Times New Roman" w:hAnsi="Times New Roman" w:cs="Times New Roman"/>
          <w:color w:val="010000"/>
          <w:sz w:val="24"/>
        </w:rPr>
        <w:t>işte çalışanlara tanımanın Anayasanın 12. Maddesindeki eşitlik ilkesiyle bağdaşır yanı yoktur.</w:t>
      </w:r>
    </w:p>
    <w:p w:rsidR="003772FD" w:rsidRPr="003772FD" w:rsidRDefault="003772FD" w:rsidP="003772FD">
      <w:pPr>
        <w:pStyle w:val="Gvdemetni0"/>
        <w:widowControl/>
        <w:numPr>
          <w:ilvl w:val="0"/>
          <w:numId w:val="2"/>
        </w:numPr>
        <w:shd w:val="clear" w:color="auto" w:fill="auto"/>
        <w:spacing w:before="240" w:after="100" w:afterAutospacing="1" w:line="240" w:lineRule="auto"/>
        <w:ind w:left="0" w:firstLine="709"/>
        <w:jc w:val="both"/>
        <w:rPr>
          <w:rFonts w:ascii="Times New Roman" w:hAnsi="Times New Roman" w:cs="Times New Roman"/>
          <w:color w:val="010000"/>
          <w:sz w:val="24"/>
        </w:rPr>
      </w:pPr>
      <w:r w:rsidRPr="003772FD">
        <w:rPr>
          <w:rFonts w:ascii="Times New Roman" w:hAnsi="Times New Roman" w:cs="Times New Roman"/>
          <w:color w:val="010000"/>
          <w:sz w:val="24"/>
        </w:rPr>
        <w:t>Davacıyı memnun olduğu işinden ve çalışma ortamından uzaklaş</w:t>
      </w:r>
      <w:r w:rsidRPr="003772FD">
        <w:rPr>
          <w:rFonts w:ascii="Times New Roman" w:hAnsi="Times New Roman" w:cs="Times New Roman"/>
          <w:color w:val="010000"/>
          <w:sz w:val="24"/>
        </w:rPr>
        <w:softHyphen/>
        <w:t>tırıp sigortaya tabi bir iş bulmaya zorlamak onun için işkence olur ki bu da Anayasa’nın eziyet ve işkenceyi yasaklayan 14. maddesiyle çelişir.</w:t>
      </w:r>
    </w:p>
    <w:p w:rsidR="003772FD" w:rsidRPr="003772FD" w:rsidRDefault="003772FD" w:rsidP="003772FD">
      <w:pPr>
        <w:pStyle w:val="Gvdemetni0"/>
        <w:widowControl/>
        <w:numPr>
          <w:ilvl w:val="0"/>
          <w:numId w:val="2"/>
        </w:numPr>
        <w:shd w:val="clear" w:color="auto" w:fill="auto"/>
        <w:spacing w:before="240" w:after="100" w:afterAutospacing="1" w:line="240" w:lineRule="auto"/>
        <w:ind w:left="0" w:firstLine="709"/>
        <w:jc w:val="both"/>
        <w:rPr>
          <w:rFonts w:ascii="Times New Roman" w:hAnsi="Times New Roman" w:cs="Times New Roman"/>
          <w:color w:val="010000"/>
          <w:sz w:val="24"/>
        </w:rPr>
      </w:pPr>
      <w:r w:rsidRPr="003772FD">
        <w:rPr>
          <w:rFonts w:ascii="Times New Roman" w:hAnsi="Times New Roman" w:cs="Times New Roman"/>
          <w:color w:val="010000"/>
          <w:sz w:val="24"/>
        </w:rPr>
        <w:lastRenderedPageBreak/>
        <w:t>Anayasa’nın 40. maddesine göre herkes, dilediği alanda çalış</w:t>
      </w:r>
      <w:r w:rsidRPr="003772FD">
        <w:rPr>
          <w:rFonts w:ascii="Times New Roman" w:hAnsi="Times New Roman" w:cs="Times New Roman"/>
          <w:color w:val="010000"/>
          <w:sz w:val="24"/>
        </w:rPr>
        <w:softHyphen/>
        <w:t>ma ve sözleşme hürriyetine sahiptir. Davacıyı istemediği bir işte çalış</w:t>
      </w:r>
      <w:r w:rsidRPr="003772FD">
        <w:rPr>
          <w:rFonts w:ascii="Times New Roman" w:hAnsi="Times New Roman" w:cs="Times New Roman"/>
          <w:color w:val="010000"/>
          <w:sz w:val="24"/>
        </w:rPr>
        <w:softHyphen/>
        <w:t>maya zorlamakla bu prensip çiğnenmiş olacaktır.</w:t>
      </w:r>
    </w:p>
    <w:p w:rsidR="003772FD" w:rsidRPr="003772FD" w:rsidRDefault="003772FD" w:rsidP="003772FD">
      <w:pPr>
        <w:pStyle w:val="Gvdemetni0"/>
        <w:widowControl/>
        <w:numPr>
          <w:ilvl w:val="0"/>
          <w:numId w:val="2"/>
        </w:numPr>
        <w:shd w:val="clear" w:color="auto" w:fill="auto"/>
        <w:spacing w:before="240" w:after="100" w:afterAutospacing="1" w:line="240" w:lineRule="auto"/>
        <w:ind w:left="0" w:firstLine="709"/>
        <w:jc w:val="both"/>
        <w:rPr>
          <w:rFonts w:ascii="Times New Roman" w:hAnsi="Times New Roman" w:cs="Times New Roman"/>
          <w:color w:val="010000"/>
          <w:sz w:val="24"/>
        </w:rPr>
      </w:pPr>
      <w:r w:rsidRPr="003772FD">
        <w:rPr>
          <w:rFonts w:ascii="Times New Roman" w:hAnsi="Times New Roman" w:cs="Times New Roman"/>
          <w:color w:val="010000"/>
          <w:sz w:val="24"/>
        </w:rPr>
        <w:t xml:space="preserve">Geçmiş hizmetini yok saymak suretiyle davacıyı eski işinden ayrılmaya zorlamak Anayasanın 48. maddesindeki </w:t>
      </w:r>
      <w:r w:rsidRPr="003772FD">
        <w:rPr>
          <w:rFonts w:ascii="Times New Roman" w:hAnsi="Times New Roman" w:cs="Times New Roman"/>
          <w:color w:val="010000"/>
          <w:sz w:val="24"/>
          <w:vertAlign w:val="superscript"/>
        </w:rPr>
        <w:t>“</w:t>
      </w:r>
      <w:r w:rsidRPr="003772FD">
        <w:rPr>
          <w:rFonts w:ascii="Times New Roman" w:hAnsi="Times New Roman" w:cs="Times New Roman"/>
          <w:color w:val="010000"/>
          <w:sz w:val="24"/>
        </w:rPr>
        <w:t>Herkes sosyal güvenlik hakkına sahiptir, bu hakkı sağlamak, sosyal sigortalar ve sosyal yardım teşkilatı kurmak devletin görevlerindendir.” şeklindeki ilke ile bağdaş</w:t>
      </w:r>
      <w:r w:rsidRPr="003772FD">
        <w:rPr>
          <w:rFonts w:ascii="Times New Roman" w:hAnsi="Times New Roman" w:cs="Times New Roman"/>
          <w:color w:val="010000"/>
          <w:sz w:val="24"/>
        </w:rPr>
        <w:softHyphen/>
        <w:t>maz.</w:t>
      </w:r>
    </w:p>
    <w:p w:rsidR="003772FD" w:rsidRPr="003772FD" w:rsidRDefault="003772FD" w:rsidP="003772FD">
      <w:pPr>
        <w:pStyle w:val="Gvdemetni0"/>
        <w:widowControl/>
        <w:numPr>
          <w:ilvl w:val="0"/>
          <w:numId w:val="2"/>
        </w:numPr>
        <w:shd w:val="clear" w:color="auto" w:fill="auto"/>
        <w:spacing w:before="240" w:after="100" w:afterAutospacing="1" w:line="240" w:lineRule="auto"/>
        <w:ind w:left="0" w:firstLine="709"/>
        <w:jc w:val="both"/>
        <w:rPr>
          <w:rFonts w:ascii="Times New Roman" w:hAnsi="Times New Roman" w:cs="Times New Roman"/>
          <w:color w:val="010000"/>
          <w:sz w:val="24"/>
        </w:rPr>
      </w:pPr>
      <w:r w:rsidRPr="003772FD">
        <w:rPr>
          <w:rFonts w:ascii="Times New Roman" w:hAnsi="Times New Roman" w:cs="Times New Roman"/>
          <w:color w:val="010000"/>
          <w:sz w:val="24"/>
        </w:rPr>
        <w:t>Davacının sigortaya tabi eski hizmetinin aldığı evlenme top</w:t>
      </w:r>
      <w:r w:rsidRPr="003772FD">
        <w:rPr>
          <w:rFonts w:ascii="Times New Roman" w:hAnsi="Times New Roman" w:cs="Times New Roman"/>
          <w:color w:val="010000"/>
          <w:sz w:val="24"/>
        </w:rPr>
        <w:softHyphen/>
        <w:t>tan ödemesini faiziyle birlikte iade etmesine rağmen ihyasına imkân tanımamak Anayasanın 43. maddesindeki “...çalışan kadınlar özel olarak korunurlar.” ilkesiyle çelişir.”</w:t>
      </w:r>
    </w:p>
    <w:p w:rsidR="003772FD" w:rsidRPr="003772FD" w:rsidRDefault="003772FD" w:rsidP="003772FD">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rPr>
      </w:pPr>
      <w:proofErr w:type="gramStart"/>
      <w:r w:rsidRPr="003772FD">
        <w:rPr>
          <w:rFonts w:ascii="Times New Roman" w:hAnsi="Times New Roman" w:cs="Times New Roman"/>
          <w:color w:val="010000"/>
          <w:sz w:val="24"/>
        </w:rPr>
        <w:t>denilmek</w:t>
      </w:r>
      <w:proofErr w:type="gramEnd"/>
      <w:r w:rsidRPr="003772FD">
        <w:rPr>
          <w:rFonts w:ascii="Times New Roman" w:hAnsi="Times New Roman" w:cs="Times New Roman"/>
          <w:color w:val="010000"/>
          <w:sz w:val="24"/>
        </w:rPr>
        <w:t xml:space="preserve"> suretiyle 506 sayılı Kanun’a 13.7.1967 günlü, 899 sayılı Kanun ile eklenen ek maddenin üçüncü fıkrasındaki “506 sayılı Kanuna tabi işe girenler” kaydının Anayasa’nın 10., 12., 14., 40., 42. ve 43. maddelerine aykırı olduğu ileri sürülmektedir.</w:t>
      </w:r>
    </w:p>
    <w:p w:rsidR="00734D78" w:rsidRPr="003772FD" w:rsidRDefault="003772FD" w:rsidP="003772FD">
      <w:pPr>
        <w:spacing w:before="240" w:after="100" w:afterAutospacing="1" w:line="240" w:lineRule="auto"/>
        <w:ind w:firstLine="709"/>
        <w:jc w:val="both"/>
        <w:rPr>
          <w:rFonts w:ascii="Times New Roman" w:hAnsi="Times New Roman" w:cs="Times New Roman"/>
          <w:color w:val="010000"/>
          <w:sz w:val="24"/>
        </w:rPr>
      </w:pPr>
      <w:r w:rsidRPr="003772FD">
        <w:rPr>
          <w:rFonts w:ascii="Times New Roman" w:hAnsi="Times New Roman" w:cs="Times New Roman"/>
          <w:color w:val="010000"/>
          <w:sz w:val="24"/>
        </w:rPr>
        <w:t>…”</w:t>
      </w:r>
    </w:p>
    <w:sectPr w:rsidR="00734D78" w:rsidRPr="003772FD" w:rsidSect="003772FD">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06" w:rsidRDefault="00C80806" w:rsidP="003772FD">
      <w:pPr>
        <w:spacing w:after="0" w:line="240" w:lineRule="auto"/>
      </w:pPr>
      <w:r>
        <w:separator/>
      </w:r>
    </w:p>
  </w:endnote>
  <w:endnote w:type="continuationSeparator" w:id="0">
    <w:p w:rsidR="00C80806" w:rsidRDefault="00C80806" w:rsidP="0037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2FD" w:rsidRDefault="003772FD" w:rsidP="00DA6BD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772FD" w:rsidRDefault="003772FD" w:rsidP="003772F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2FD" w:rsidRPr="003772FD" w:rsidRDefault="003772FD" w:rsidP="00DA6BD2">
    <w:pPr>
      <w:pStyle w:val="AltBilgi"/>
      <w:framePr w:wrap="around" w:vAnchor="text" w:hAnchor="margin" w:xAlign="right" w:y="1"/>
      <w:rPr>
        <w:rStyle w:val="SayfaNumaras"/>
        <w:rFonts w:ascii="Times New Roman" w:hAnsi="Times New Roman" w:cs="Times New Roman"/>
      </w:rPr>
    </w:pPr>
    <w:r w:rsidRPr="003772FD">
      <w:rPr>
        <w:rStyle w:val="SayfaNumaras"/>
        <w:rFonts w:ascii="Times New Roman" w:hAnsi="Times New Roman" w:cs="Times New Roman"/>
      </w:rPr>
      <w:fldChar w:fldCharType="begin"/>
    </w:r>
    <w:r w:rsidRPr="003772FD">
      <w:rPr>
        <w:rStyle w:val="SayfaNumaras"/>
        <w:rFonts w:ascii="Times New Roman" w:hAnsi="Times New Roman" w:cs="Times New Roman"/>
      </w:rPr>
      <w:instrText xml:space="preserve"> PAGE </w:instrText>
    </w:r>
    <w:r w:rsidRPr="003772FD">
      <w:rPr>
        <w:rStyle w:val="SayfaNumaras"/>
        <w:rFonts w:ascii="Times New Roman" w:hAnsi="Times New Roman" w:cs="Times New Roman"/>
      </w:rPr>
      <w:fldChar w:fldCharType="separate"/>
    </w:r>
    <w:r w:rsidRPr="003772FD">
      <w:rPr>
        <w:rStyle w:val="SayfaNumaras"/>
        <w:rFonts w:ascii="Times New Roman" w:hAnsi="Times New Roman" w:cs="Times New Roman"/>
        <w:noProof/>
      </w:rPr>
      <w:t>1</w:t>
    </w:r>
    <w:r w:rsidRPr="003772FD">
      <w:rPr>
        <w:rStyle w:val="SayfaNumaras"/>
        <w:rFonts w:ascii="Times New Roman" w:hAnsi="Times New Roman" w:cs="Times New Roman"/>
      </w:rPr>
      <w:fldChar w:fldCharType="end"/>
    </w:r>
  </w:p>
  <w:p w:rsidR="003772FD" w:rsidRPr="003772FD" w:rsidRDefault="003772FD" w:rsidP="003772F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06" w:rsidRDefault="00C80806" w:rsidP="003772FD">
      <w:pPr>
        <w:spacing w:after="0" w:line="240" w:lineRule="auto"/>
      </w:pPr>
      <w:r>
        <w:separator/>
      </w:r>
    </w:p>
  </w:footnote>
  <w:footnote w:type="continuationSeparator" w:id="0">
    <w:p w:rsidR="00C80806" w:rsidRDefault="00C80806" w:rsidP="0037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2FD" w:rsidRPr="003772FD" w:rsidRDefault="003772FD" w:rsidP="003772FD">
    <w:pPr>
      <w:pStyle w:val="stBilgi"/>
      <w:rPr>
        <w:rFonts w:ascii="Times New Roman" w:hAnsi="Times New Roman" w:cs="Times New Roman"/>
      </w:rPr>
    </w:pPr>
    <w:r w:rsidRPr="003772FD">
      <w:rPr>
        <w:rFonts w:ascii="Times New Roman" w:hAnsi="Times New Roman" w:cs="Times New Roman"/>
      </w:rPr>
      <w:t xml:space="preserve">Esas </w:t>
    </w:r>
    <w:proofErr w:type="gramStart"/>
    <w:r w:rsidRPr="003772FD">
      <w:rPr>
        <w:rFonts w:ascii="Times New Roman" w:hAnsi="Times New Roman" w:cs="Times New Roman"/>
      </w:rPr>
      <w:t>Sayısı :</w:t>
    </w:r>
    <w:proofErr w:type="gramEnd"/>
    <w:r w:rsidRPr="003772FD">
      <w:rPr>
        <w:rFonts w:ascii="Times New Roman" w:hAnsi="Times New Roman" w:cs="Times New Roman"/>
      </w:rPr>
      <w:t xml:space="preserve"> 1982/6</w:t>
    </w:r>
  </w:p>
  <w:p w:rsidR="003772FD" w:rsidRPr="003772FD" w:rsidRDefault="003772FD" w:rsidP="003772FD">
    <w:pPr>
      <w:pStyle w:val="stBilgi"/>
    </w:pPr>
    <w:r w:rsidRPr="003772FD">
      <w:rPr>
        <w:rFonts w:ascii="Times New Roman" w:hAnsi="Times New Roman" w:cs="Times New Roman"/>
      </w:rPr>
      <w:t xml:space="preserve">Karar </w:t>
    </w:r>
    <w:proofErr w:type="gramStart"/>
    <w:r w:rsidRPr="003772FD">
      <w:rPr>
        <w:rFonts w:ascii="Times New Roman" w:hAnsi="Times New Roman" w:cs="Times New Roman"/>
      </w:rPr>
      <w:t>Sayısı :</w:t>
    </w:r>
    <w:proofErr w:type="gramEnd"/>
    <w:r w:rsidRPr="003772FD">
      <w:rPr>
        <w:rFonts w:ascii="Times New Roman" w:hAnsi="Times New Roman" w:cs="Times New Roman"/>
      </w:rPr>
      <w:t xml:space="preserve"> 1983/9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3AE"/>
    <w:multiLevelType w:val="hybridMultilevel"/>
    <w:tmpl w:val="419460D4"/>
    <w:lvl w:ilvl="0" w:tplc="4EFA4742">
      <w:start w:val="4"/>
      <w:numFmt w:val="lowerLetter"/>
      <w:suff w:val="space"/>
      <w:lvlText w:val="%1)"/>
      <w:lvlJc w:val="left"/>
      <w:pPr>
        <w:ind w:left="2800" w:hanging="720"/>
      </w:pPr>
      <w:rPr>
        <w:rFonts w:hint="default"/>
      </w:rPr>
    </w:lvl>
    <w:lvl w:ilvl="1" w:tplc="041F0019" w:tentative="1">
      <w:start w:val="1"/>
      <w:numFmt w:val="lowerLetter"/>
      <w:lvlText w:val="%2."/>
      <w:lvlJc w:val="left"/>
      <w:pPr>
        <w:ind w:left="3160" w:hanging="360"/>
      </w:pPr>
    </w:lvl>
    <w:lvl w:ilvl="2" w:tplc="041F001B" w:tentative="1">
      <w:start w:val="1"/>
      <w:numFmt w:val="lowerRoman"/>
      <w:lvlText w:val="%3."/>
      <w:lvlJc w:val="right"/>
      <w:pPr>
        <w:ind w:left="3880" w:hanging="180"/>
      </w:pPr>
    </w:lvl>
    <w:lvl w:ilvl="3" w:tplc="041F000F" w:tentative="1">
      <w:start w:val="1"/>
      <w:numFmt w:val="decimal"/>
      <w:lvlText w:val="%4."/>
      <w:lvlJc w:val="left"/>
      <w:pPr>
        <w:ind w:left="4600" w:hanging="360"/>
      </w:pPr>
    </w:lvl>
    <w:lvl w:ilvl="4" w:tplc="041F0019" w:tentative="1">
      <w:start w:val="1"/>
      <w:numFmt w:val="lowerLetter"/>
      <w:lvlText w:val="%5."/>
      <w:lvlJc w:val="left"/>
      <w:pPr>
        <w:ind w:left="5320" w:hanging="360"/>
      </w:pPr>
    </w:lvl>
    <w:lvl w:ilvl="5" w:tplc="041F001B" w:tentative="1">
      <w:start w:val="1"/>
      <w:numFmt w:val="lowerRoman"/>
      <w:lvlText w:val="%6."/>
      <w:lvlJc w:val="right"/>
      <w:pPr>
        <w:ind w:left="6040" w:hanging="180"/>
      </w:pPr>
    </w:lvl>
    <w:lvl w:ilvl="6" w:tplc="041F000F" w:tentative="1">
      <w:start w:val="1"/>
      <w:numFmt w:val="decimal"/>
      <w:lvlText w:val="%7."/>
      <w:lvlJc w:val="left"/>
      <w:pPr>
        <w:ind w:left="6760" w:hanging="360"/>
      </w:pPr>
    </w:lvl>
    <w:lvl w:ilvl="7" w:tplc="041F0019" w:tentative="1">
      <w:start w:val="1"/>
      <w:numFmt w:val="lowerLetter"/>
      <w:lvlText w:val="%8."/>
      <w:lvlJc w:val="left"/>
      <w:pPr>
        <w:ind w:left="7480" w:hanging="360"/>
      </w:pPr>
    </w:lvl>
    <w:lvl w:ilvl="8" w:tplc="041F001B" w:tentative="1">
      <w:start w:val="1"/>
      <w:numFmt w:val="lowerRoman"/>
      <w:lvlText w:val="%9."/>
      <w:lvlJc w:val="right"/>
      <w:pPr>
        <w:ind w:left="8200" w:hanging="180"/>
      </w:pPr>
    </w:lvl>
  </w:abstractNum>
  <w:abstractNum w:abstractNumId="1" w15:restartNumberingAfterBreak="0">
    <w:nsid w:val="1E0304E8"/>
    <w:multiLevelType w:val="hybridMultilevel"/>
    <w:tmpl w:val="C3763B2C"/>
    <w:lvl w:ilvl="0" w:tplc="00007706">
      <w:start w:val="1"/>
      <w:numFmt w:val="upperRoman"/>
      <w:suff w:val="space"/>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DB950F5"/>
    <w:multiLevelType w:val="multilevel"/>
    <w:tmpl w:val="D1EE4144"/>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FD"/>
    <w:rsid w:val="003772FD"/>
    <w:rsid w:val="00734D78"/>
    <w:rsid w:val="008A1566"/>
    <w:rsid w:val="00C80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87DE9"/>
  <w15:chartTrackingRefBased/>
  <w15:docId w15:val="{BF7C4FC3-E7EC-4F87-9706-2C70A0B2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772FD"/>
    <w:rPr>
      <w:sz w:val="46"/>
      <w:szCs w:val="46"/>
      <w:shd w:val="clear" w:color="auto" w:fill="FFFFFF"/>
    </w:rPr>
  </w:style>
  <w:style w:type="paragraph" w:customStyle="1" w:styleId="Gvdemetni0">
    <w:name w:val="Gövde metni"/>
    <w:basedOn w:val="Normal"/>
    <w:link w:val="Gvdemetni"/>
    <w:rsid w:val="003772FD"/>
    <w:pPr>
      <w:widowControl w:val="0"/>
      <w:shd w:val="clear" w:color="auto" w:fill="FFFFFF"/>
      <w:spacing w:after="0" w:line="439" w:lineRule="auto"/>
    </w:pPr>
    <w:rPr>
      <w:sz w:val="46"/>
      <w:szCs w:val="46"/>
    </w:rPr>
  </w:style>
  <w:style w:type="paragraph" w:styleId="stBilgi">
    <w:name w:val="header"/>
    <w:basedOn w:val="Normal"/>
    <w:link w:val="stBilgiChar"/>
    <w:uiPriority w:val="99"/>
    <w:unhideWhenUsed/>
    <w:rsid w:val="003772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2FD"/>
  </w:style>
  <w:style w:type="paragraph" w:styleId="AltBilgi">
    <w:name w:val="footer"/>
    <w:basedOn w:val="Normal"/>
    <w:link w:val="AltBilgiChar"/>
    <w:uiPriority w:val="99"/>
    <w:unhideWhenUsed/>
    <w:rsid w:val="003772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2FD"/>
  </w:style>
  <w:style w:type="character" w:styleId="SayfaNumaras">
    <w:name w:val="page number"/>
    <w:basedOn w:val="VarsaylanParagrafYazTipi"/>
    <w:uiPriority w:val="99"/>
    <w:semiHidden/>
    <w:unhideWhenUsed/>
    <w:rsid w:val="0037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2023-11-02T07:49:00Z</dcterms:created>
  <dcterms:modified xsi:type="dcterms:W3CDTF">2023-11-02T07:51:00Z</dcterms:modified>
</cp:coreProperties>
</file>