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FE5" w:rsidRDefault="00836FE5" w:rsidP="00836FE5">
      <w:pPr>
        <w:spacing w:before="240" w:after="100" w:afterAutospacing="1" w:line="240" w:lineRule="auto"/>
        <w:ind w:firstLine="709"/>
        <w:jc w:val="both"/>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w:t>
      </w:r>
    </w:p>
    <w:p w:rsidR="00836FE5" w:rsidRPr="00875A94" w:rsidRDefault="00836FE5" w:rsidP="00836FE5">
      <w:pPr>
        <w:spacing w:before="240" w:after="100" w:afterAutospacing="1" w:line="240" w:lineRule="auto"/>
        <w:ind w:firstLine="709"/>
        <w:jc w:val="both"/>
        <w:rPr>
          <w:rFonts w:ascii="Times New Roman" w:eastAsia="Times New Roman" w:hAnsi="Times New Roman" w:cs="Times New Roman"/>
          <w:b/>
          <w:color w:val="010000"/>
          <w:sz w:val="24"/>
          <w:szCs w:val="27"/>
          <w:lang w:eastAsia="tr-TR"/>
        </w:rPr>
      </w:pPr>
      <w:r w:rsidRPr="00875A94">
        <w:rPr>
          <w:rFonts w:ascii="Times New Roman" w:eastAsia="Times New Roman" w:hAnsi="Times New Roman" w:cs="Times New Roman"/>
          <w:b/>
          <w:color w:val="010000"/>
          <w:sz w:val="24"/>
          <w:szCs w:val="27"/>
          <w:lang w:eastAsia="tr-TR"/>
        </w:rPr>
        <w:t xml:space="preserve">II- İTİRAZIN </w:t>
      </w:r>
      <w:proofErr w:type="gramStart"/>
      <w:r w:rsidRPr="00875A94">
        <w:rPr>
          <w:rFonts w:ascii="Times New Roman" w:eastAsia="Times New Roman" w:hAnsi="Times New Roman" w:cs="Times New Roman"/>
          <w:b/>
          <w:color w:val="010000"/>
          <w:sz w:val="24"/>
          <w:szCs w:val="27"/>
          <w:lang w:eastAsia="tr-TR"/>
        </w:rPr>
        <w:t>GEREKÇESİ :</w:t>
      </w:r>
      <w:proofErr w:type="gramEnd"/>
    </w:p>
    <w:p w:rsidR="00836FE5" w:rsidRPr="00875A94" w:rsidRDefault="00836FE5" w:rsidP="00836FE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75A94">
        <w:rPr>
          <w:rFonts w:ascii="Times New Roman" w:eastAsia="Times New Roman" w:hAnsi="Times New Roman" w:cs="Times New Roman"/>
          <w:color w:val="010000"/>
          <w:sz w:val="24"/>
          <w:szCs w:val="27"/>
          <w:lang w:eastAsia="tr-TR"/>
        </w:rPr>
        <w:t>Mahkeme, Anayasa Mahkemesine başvurma kararında, Cumhuriyet Savcılığının iddianamesi ile savunmanın özetini yazdıktan sonra itirazı aşağıdaki gerekçelere dayandırmıştır:</w:t>
      </w:r>
      <w:bookmarkStart w:id="0" w:name="_GoBack"/>
      <w:bookmarkEnd w:id="0"/>
    </w:p>
    <w:p w:rsidR="00836FE5" w:rsidRPr="00875A94" w:rsidRDefault="00836FE5" w:rsidP="00836FE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75A94">
        <w:rPr>
          <w:rFonts w:ascii="Times New Roman" w:eastAsia="Times New Roman" w:hAnsi="Times New Roman" w:cs="Times New Roman"/>
          <w:color w:val="010000"/>
          <w:sz w:val="24"/>
          <w:szCs w:val="27"/>
          <w:lang w:eastAsia="tr-TR"/>
        </w:rPr>
        <w:t xml:space="preserve">"...uygulanacak yasa maddesinin Anayasa'ya aykırı olduğu ileri sürülmüştür. Yüksek Mahkemenin bir kararı, bu isteğe dayanak gösterilmektedir. İptal edilen T.C.K. 266/9 maddesi sıfat veya hizmetinden dolayı vaki hakaret ve taarruz memurun gıyabında alenen işlenmiş olursa fiilin mahiyetine göre yukarı fıkra ve bentlerdeki cezaların yarısı hükmolunur. Bu fıkradaki suçun tekevvünü için </w:t>
      </w:r>
      <w:proofErr w:type="gramStart"/>
      <w:r w:rsidRPr="00875A94">
        <w:rPr>
          <w:rFonts w:ascii="Times New Roman" w:eastAsia="Times New Roman" w:hAnsi="Times New Roman" w:cs="Times New Roman"/>
          <w:color w:val="010000"/>
          <w:sz w:val="24"/>
          <w:szCs w:val="27"/>
          <w:lang w:eastAsia="tr-TR"/>
        </w:rPr>
        <w:t>153 üncü</w:t>
      </w:r>
      <w:proofErr w:type="gramEnd"/>
      <w:r w:rsidRPr="00875A94">
        <w:rPr>
          <w:rFonts w:ascii="Times New Roman" w:eastAsia="Times New Roman" w:hAnsi="Times New Roman" w:cs="Times New Roman"/>
          <w:color w:val="010000"/>
          <w:sz w:val="24"/>
          <w:szCs w:val="27"/>
          <w:lang w:eastAsia="tr-TR"/>
        </w:rPr>
        <w:t xml:space="preserve"> maddedeki aleniyet şarttır.</w:t>
      </w:r>
    </w:p>
    <w:p w:rsidR="00836FE5" w:rsidRPr="00875A94" w:rsidRDefault="00836FE5" w:rsidP="00836FE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75A94">
        <w:rPr>
          <w:rFonts w:ascii="Times New Roman" w:eastAsia="Times New Roman" w:hAnsi="Times New Roman" w:cs="Times New Roman"/>
          <w:color w:val="010000"/>
          <w:sz w:val="24"/>
          <w:szCs w:val="27"/>
          <w:lang w:eastAsia="tr-TR"/>
        </w:rPr>
        <w:t xml:space="preserve">Buna karşılık emsal gösterilecek iptali istenen T.C.K. 268/5 ise sıfat veya hizmetinden dolayı vaki hakaret ve taarruz birinci fıkrada gösterilen heyetlerin gıyabında alenen işlenmiş olursa fiilin mahiyetine göre l. veya 2. fıkralarda yazılı olan cezaların yarısı hükmolunur. Bu fıkradaki suçun tekevvünü için </w:t>
      </w:r>
      <w:proofErr w:type="gramStart"/>
      <w:r w:rsidRPr="00875A94">
        <w:rPr>
          <w:rFonts w:ascii="Times New Roman" w:eastAsia="Times New Roman" w:hAnsi="Times New Roman" w:cs="Times New Roman"/>
          <w:color w:val="010000"/>
          <w:sz w:val="24"/>
          <w:szCs w:val="27"/>
          <w:lang w:eastAsia="tr-TR"/>
        </w:rPr>
        <w:t>153 üncü</w:t>
      </w:r>
      <w:proofErr w:type="gramEnd"/>
      <w:r w:rsidRPr="00875A94">
        <w:rPr>
          <w:rFonts w:ascii="Times New Roman" w:eastAsia="Times New Roman" w:hAnsi="Times New Roman" w:cs="Times New Roman"/>
          <w:color w:val="010000"/>
          <w:sz w:val="24"/>
          <w:szCs w:val="27"/>
          <w:lang w:eastAsia="tr-TR"/>
        </w:rPr>
        <w:t xml:space="preserve"> maddedeki aleniyet şarttır, demektedir. Ortaya çıkan duruna göre iptal edilen yasa maddesi ile iptali istenilen yasa arasında yasal açıdan tam bir </w:t>
      </w:r>
      <w:proofErr w:type="spellStart"/>
      <w:r w:rsidRPr="00875A94">
        <w:rPr>
          <w:rFonts w:ascii="Times New Roman" w:eastAsia="Times New Roman" w:hAnsi="Times New Roman" w:cs="Times New Roman"/>
          <w:color w:val="010000"/>
          <w:sz w:val="24"/>
          <w:szCs w:val="27"/>
          <w:lang w:eastAsia="tr-TR"/>
        </w:rPr>
        <w:t>aynilik</w:t>
      </w:r>
      <w:proofErr w:type="spellEnd"/>
      <w:r w:rsidRPr="00875A94">
        <w:rPr>
          <w:rFonts w:ascii="Times New Roman" w:eastAsia="Times New Roman" w:hAnsi="Times New Roman" w:cs="Times New Roman"/>
          <w:color w:val="010000"/>
          <w:sz w:val="24"/>
          <w:szCs w:val="27"/>
          <w:lang w:eastAsia="tr-TR"/>
        </w:rPr>
        <w:t xml:space="preserve"> vardır. Matematikteki bir kurala göre aralarında eşit olan iki şeyden biri üçüncüsüne eşitse diğeri de üçüncüye eşittir. Diğer bir deyişle A=B ve B=C ise A=C </w:t>
      </w:r>
      <w:proofErr w:type="spellStart"/>
      <w:r w:rsidRPr="00875A94">
        <w:rPr>
          <w:rFonts w:ascii="Times New Roman" w:eastAsia="Times New Roman" w:hAnsi="Times New Roman" w:cs="Times New Roman"/>
          <w:color w:val="010000"/>
          <w:sz w:val="24"/>
          <w:szCs w:val="27"/>
          <w:lang w:eastAsia="tr-TR"/>
        </w:rPr>
        <w:t>dir</w:t>
      </w:r>
      <w:proofErr w:type="spellEnd"/>
      <w:r w:rsidRPr="00875A94">
        <w:rPr>
          <w:rFonts w:ascii="Times New Roman" w:eastAsia="Times New Roman" w:hAnsi="Times New Roman" w:cs="Times New Roman"/>
          <w:color w:val="010000"/>
          <w:sz w:val="24"/>
          <w:szCs w:val="27"/>
          <w:lang w:eastAsia="tr-TR"/>
        </w:rPr>
        <w:t>. Bu nedenlerle Anayasa'ya aykırılık suçunu (iddia) ciddi bulmaktayız.</w:t>
      </w:r>
    </w:p>
    <w:p w:rsidR="00836FE5" w:rsidRDefault="00836FE5" w:rsidP="00836FE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75A94">
        <w:rPr>
          <w:rFonts w:ascii="Times New Roman" w:eastAsia="Times New Roman" w:hAnsi="Times New Roman" w:cs="Times New Roman"/>
          <w:color w:val="010000"/>
          <w:sz w:val="24"/>
          <w:szCs w:val="27"/>
          <w:lang w:eastAsia="tr-TR"/>
        </w:rPr>
        <w:t xml:space="preserve">SONUÇ: İlk iş olarak Anayasa'ya aykırılık iddiasının çözüme kavuşturulması için sanık ve savunucusunun ciddi görülen İtirazları nedeni ile dosyanın Anayasa Mahkemesine gönderilmesine, dosyanın bu amaçla bir örneğinin çıkarılmasına, dosyanın Anayasa Mahkemesinden dönüşüne değin yargılanmasının durdurulmasına, yargılama ile ilgili diğer </w:t>
      </w:r>
      <w:proofErr w:type="gramStart"/>
      <w:r w:rsidRPr="00875A94">
        <w:rPr>
          <w:rFonts w:ascii="Times New Roman" w:eastAsia="Times New Roman" w:hAnsi="Times New Roman" w:cs="Times New Roman"/>
          <w:color w:val="010000"/>
          <w:sz w:val="24"/>
          <w:szCs w:val="27"/>
          <w:lang w:eastAsia="tr-TR"/>
        </w:rPr>
        <w:t>işlemlerin</w:t>
      </w:r>
      <w:proofErr w:type="gramEnd"/>
      <w:r w:rsidRPr="00875A94">
        <w:rPr>
          <w:rFonts w:ascii="Times New Roman" w:eastAsia="Times New Roman" w:hAnsi="Times New Roman" w:cs="Times New Roman"/>
          <w:color w:val="010000"/>
          <w:sz w:val="24"/>
          <w:szCs w:val="27"/>
          <w:lang w:eastAsia="tr-TR"/>
        </w:rPr>
        <w:t xml:space="preserve"> daha sonra düşünülmesine karar verildi."</w:t>
      </w:r>
      <w:r>
        <w:rPr>
          <w:rFonts w:ascii="Times New Roman" w:eastAsia="Times New Roman" w:hAnsi="Times New Roman" w:cs="Times New Roman"/>
          <w:color w:val="010000"/>
          <w:sz w:val="24"/>
          <w:szCs w:val="27"/>
          <w:lang w:eastAsia="tr-TR"/>
        </w:rPr>
        <w:t>"</w:t>
      </w:r>
    </w:p>
    <w:p w:rsidR="003B302C" w:rsidRPr="00836FE5" w:rsidRDefault="003B302C" w:rsidP="00836FE5">
      <w:pPr>
        <w:spacing w:before="240" w:after="100" w:afterAutospacing="1" w:line="240" w:lineRule="auto"/>
        <w:ind w:firstLine="709"/>
        <w:jc w:val="both"/>
        <w:rPr>
          <w:rFonts w:ascii="Times New Roman" w:hAnsi="Times New Roman" w:cs="Times New Roman"/>
          <w:sz w:val="24"/>
        </w:rPr>
      </w:pPr>
    </w:p>
    <w:sectPr w:rsidR="003B302C" w:rsidRPr="00836FE5" w:rsidSect="00836FE5">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C54" w:rsidRDefault="00A61C54" w:rsidP="00836FE5">
      <w:pPr>
        <w:spacing w:after="0" w:line="240" w:lineRule="auto"/>
      </w:pPr>
      <w:r>
        <w:separator/>
      </w:r>
    </w:p>
  </w:endnote>
  <w:endnote w:type="continuationSeparator" w:id="0">
    <w:p w:rsidR="00A61C54" w:rsidRDefault="00A61C54" w:rsidP="00836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FE5" w:rsidRDefault="00836FE5" w:rsidP="00655F8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836FE5" w:rsidRDefault="00836FE5" w:rsidP="00836FE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FE5" w:rsidRPr="00836FE5" w:rsidRDefault="00836FE5" w:rsidP="00655F8F">
    <w:pPr>
      <w:pStyle w:val="AltBilgi"/>
      <w:framePr w:wrap="around" w:vAnchor="text" w:hAnchor="margin" w:xAlign="right" w:y="1"/>
      <w:rPr>
        <w:rStyle w:val="SayfaNumaras"/>
        <w:rFonts w:ascii="Times New Roman" w:hAnsi="Times New Roman" w:cs="Times New Roman"/>
      </w:rPr>
    </w:pPr>
    <w:r w:rsidRPr="00836FE5">
      <w:rPr>
        <w:rStyle w:val="SayfaNumaras"/>
        <w:rFonts w:ascii="Times New Roman" w:hAnsi="Times New Roman" w:cs="Times New Roman"/>
      </w:rPr>
      <w:fldChar w:fldCharType="begin"/>
    </w:r>
    <w:r w:rsidRPr="00836FE5">
      <w:rPr>
        <w:rStyle w:val="SayfaNumaras"/>
        <w:rFonts w:ascii="Times New Roman" w:hAnsi="Times New Roman" w:cs="Times New Roman"/>
      </w:rPr>
      <w:instrText xml:space="preserve"> PAGE </w:instrText>
    </w:r>
    <w:r w:rsidRPr="00836FE5">
      <w:rPr>
        <w:rStyle w:val="SayfaNumaras"/>
        <w:rFonts w:ascii="Times New Roman" w:hAnsi="Times New Roman" w:cs="Times New Roman"/>
      </w:rPr>
      <w:fldChar w:fldCharType="separate"/>
    </w:r>
    <w:r w:rsidRPr="00836FE5">
      <w:rPr>
        <w:rStyle w:val="SayfaNumaras"/>
        <w:rFonts w:ascii="Times New Roman" w:hAnsi="Times New Roman" w:cs="Times New Roman"/>
        <w:noProof/>
      </w:rPr>
      <w:t>1</w:t>
    </w:r>
    <w:r w:rsidRPr="00836FE5">
      <w:rPr>
        <w:rStyle w:val="SayfaNumaras"/>
        <w:rFonts w:ascii="Times New Roman" w:hAnsi="Times New Roman" w:cs="Times New Roman"/>
      </w:rPr>
      <w:fldChar w:fldCharType="end"/>
    </w:r>
  </w:p>
  <w:p w:rsidR="00836FE5" w:rsidRPr="00836FE5" w:rsidRDefault="00836FE5" w:rsidP="00836FE5">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C54" w:rsidRDefault="00A61C54" w:rsidP="00836FE5">
      <w:pPr>
        <w:spacing w:after="0" w:line="240" w:lineRule="auto"/>
      </w:pPr>
      <w:r>
        <w:separator/>
      </w:r>
    </w:p>
  </w:footnote>
  <w:footnote w:type="continuationSeparator" w:id="0">
    <w:p w:rsidR="00A61C54" w:rsidRDefault="00A61C54" w:rsidP="00836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FE5" w:rsidRDefault="00836FE5" w:rsidP="00836FE5">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Esas sayısı:1981/8</w:t>
    </w:r>
  </w:p>
  <w:p w:rsidR="00836FE5" w:rsidRDefault="00836FE5" w:rsidP="00836FE5">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sayısı:1982/3</w:t>
    </w:r>
  </w:p>
  <w:p w:rsidR="00836FE5" w:rsidRPr="00836FE5" w:rsidRDefault="00836FE5" w:rsidP="00836FE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FE5"/>
    <w:rsid w:val="003B302C"/>
    <w:rsid w:val="00836FE5"/>
    <w:rsid w:val="00A61C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A16EA-48BE-4CFA-971C-73D620EE4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FE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36FE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36FE5"/>
  </w:style>
  <w:style w:type="paragraph" w:styleId="AltBilgi">
    <w:name w:val="footer"/>
    <w:basedOn w:val="Normal"/>
    <w:link w:val="AltBilgiChar"/>
    <w:uiPriority w:val="99"/>
    <w:unhideWhenUsed/>
    <w:rsid w:val="00836FE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36FE5"/>
  </w:style>
  <w:style w:type="character" w:styleId="SayfaNumaras">
    <w:name w:val="page number"/>
    <w:basedOn w:val="VarsaylanParagrafYazTipi"/>
    <w:uiPriority w:val="99"/>
    <w:semiHidden/>
    <w:unhideWhenUsed/>
    <w:rsid w:val="00836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1463</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2020-06-20T19:16:00Z</dcterms:created>
  <dcterms:modified xsi:type="dcterms:W3CDTF">2020-06-20T19:16:00Z</dcterms:modified>
</cp:coreProperties>
</file>