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22"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II -</w:t>
      </w:r>
      <w:proofErr w:type="gramEnd"/>
      <w:r w:rsidRPr="00C71DDB">
        <w:rPr>
          <w:rFonts w:ascii="Times New Roman" w:eastAsia="Times New Roman" w:hAnsi="Times New Roman" w:cs="Times New Roman"/>
          <w:color w:val="010000"/>
          <w:sz w:val="24"/>
          <w:szCs w:val="27"/>
          <w:lang w:eastAsia="tr-TR"/>
        </w:rPr>
        <w:t xml:space="preserve"> İTİRAZIN GEREKÇESİ :</w:t>
      </w:r>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Bornova 1. Asliye Hukuk Mahkemesinin Anayasa Mahkemesine başvurma kararında özetle:</w:t>
      </w:r>
      <w:bookmarkStart w:id="0" w:name="_GoBack"/>
      <w:bookmarkEnd w:id="0"/>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w:t>
      </w:r>
      <w:proofErr w:type="gramStart"/>
      <w:r w:rsidRPr="00C71DDB">
        <w:rPr>
          <w:rFonts w:ascii="Times New Roman" w:eastAsia="Times New Roman" w:hAnsi="Times New Roman" w:cs="Times New Roman"/>
          <w:color w:val="010000"/>
          <w:sz w:val="24"/>
          <w:szCs w:val="27"/>
          <w:lang w:eastAsia="tr-TR"/>
        </w:rPr>
        <w:t>l -</w:t>
      </w:r>
      <w:proofErr w:type="gramEnd"/>
      <w:r w:rsidRPr="00C71DDB">
        <w:rPr>
          <w:rFonts w:ascii="Times New Roman" w:eastAsia="Times New Roman" w:hAnsi="Times New Roman" w:cs="Times New Roman"/>
          <w:color w:val="010000"/>
          <w:sz w:val="24"/>
          <w:szCs w:val="27"/>
          <w:lang w:eastAsia="tr-TR"/>
        </w:rPr>
        <w:t xml:space="preserve"> İptalinin temini istenen 2116 sayılı Kanunun 6. maddesidir. Bu hüküm iptal edilmediği takdirde doğrudan bu davaya uygulanması gereken bir yasa hükmü bulunmaktadır. Bu madde nizamname hükmüne göre hesap ve işlem yapılmasını öngörmektir. Halbuki Vakıflarla ilgili 2762 sayılı Kanunun 39/2. maddesi "alakalıların Vakfiyeye göre intifa hakları mahfuzdur." kaidesini koymuştur. Buna göre esas kanun "Vakfiyeye göre..." 1978 yılı bütçesi ile ilgili 2116 sayılı Kanunun 6. maddesi "nizamnameye göre..." hak verilmesine hükmetmişlerdir. Nizamname hakkı daraltmaktadır. Bu sonuca göre iptali istenen yasa maddesi doğrudan doğruya bu davada uygulanacak kanun hükmü olduğu için Anayasanın 151. maddesine göre mahkememizin meseleyi Anayasa Mahkemesine götürmek yetkisinin bulunduğu tespit edilmektedir.</w:t>
      </w:r>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2 -</w:t>
      </w:r>
      <w:proofErr w:type="gramEnd"/>
      <w:r w:rsidRPr="00C71DDB">
        <w:rPr>
          <w:rFonts w:ascii="Times New Roman" w:eastAsia="Times New Roman" w:hAnsi="Times New Roman" w:cs="Times New Roman"/>
          <w:color w:val="010000"/>
          <w:sz w:val="24"/>
          <w:szCs w:val="27"/>
          <w:lang w:eastAsia="tr-TR"/>
        </w:rPr>
        <w:t xml:space="preserve"> 1961 Anayasasından Önceki 1924 Anayasası döneminde kanun ve tüzükteki çatışan hükümlerin ortaya koyduğu sorunlar o zaman için "Anayasa Mahkemesi" ve "Kanunların iptali" söz konusu olmadığından esas kanun tatbik olunup tüzük ihmal olunmalı ve kaideler hiyerarşisine göre Vakıflar Kanununun 39. maddesi tüzük hükümlerine tercih edilmelidir... yolundaki yorum ile kararlar verilip netice alınması temin edilmiştir. Ancak Bütçe Kanununa Tüzüğün uygulanması yolunda hükümler konunca bu defa iki yasa hükmü çelişir olmuştur.</w:t>
      </w:r>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3 -</w:t>
      </w:r>
      <w:proofErr w:type="gramEnd"/>
      <w:r w:rsidRPr="00C71DDB">
        <w:rPr>
          <w:rFonts w:ascii="Times New Roman" w:eastAsia="Times New Roman" w:hAnsi="Times New Roman" w:cs="Times New Roman"/>
          <w:color w:val="010000"/>
          <w:sz w:val="24"/>
          <w:szCs w:val="27"/>
          <w:lang w:eastAsia="tr-TR"/>
        </w:rPr>
        <w:t xml:space="preserve"> Her ne kadar bütçe Kanununun geçici süre için uygulanacağı, bu süre geçince esas kanunun tatbikine devam gerekeceği düşünülebilirse de, son yıllarda aynı hükmün her mali yılın bütçelerine konularak tüzük uygulamasının devam ettirilmek istenmesi karşısında 2762 sayılı Kanunun 39. maddesinin uygulanmasının ortadan kalkmasını sağlayıcı fakat bir bütçe kanunu hükmü ile bunun temininin istendiği görülmektedir.</w:t>
      </w:r>
    </w:p>
    <w:p w:rsidR="00BE5322" w:rsidRPr="00C71DDB"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4 -</w:t>
      </w:r>
      <w:proofErr w:type="gramEnd"/>
      <w:r w:rsidRPr="00C71DDB">
        <w:rPr>
          <w:rFonts w:ascii="Times New Roman" w:eastAsia="Times New Roman" w:hAnsi="Times New Roman" w:cs="Times New Roman"/>
          <w:color w:val="010000"/>
          <w:sz w:val="24"/>
          <w:szCs w:val="27"/>
          <w:lang w:eastAsia="tr-TR"/>
        </w:rPr>
        <w:t xml:space="preserve"> Bütçe Kanunlarının diğer kanunlardan ayrıcalıkları Anayasanın 64, 92, 93. ve 94. maddelerinde belirlenmiştir. Asıl önemli husus Anayasa'nın 126. maddesi ile belirlenen ve sorunun çözümüne ışık tutan hükümdür. Filhakika Anayasa'nın 126. maddesinin 3. fıkrasının son cümlesi "Bütçe Kanunlarına bütçe ile ilgili hükümler dışında hiçbir hüküm konulamaz." kuralını getirmiştir. Bu kuralın Özü bütçe kavramı dışındaki konulara, bütçe kanunlarında yer verilmemesini sağlamaktır. Aksi halde gelir getirici veya harcamayı gerektirir nitelikteki hükümleri kapsayan kanunların da bütçe kanunu niteliğinde sayılması gerekir ki bunu kabul etmek mümkün değildir. Pek çok yasada gelir ve harcamalar ile ilgili hükümler vardır. Harçlar Kanunu, Tapulama Kanunu, Orman </w:t>
      </w:r>
      <w:proofErr w:type="gramStart"/>
      <w:r w:rsidRPr="00C71DDB">
        <w:rPr>
          <w:rFonts w:ascii="Times New Roman" w:eastAsia="Times New Roman" w:hAnsi="Times New Roman" w:cs="Times New Roman"/>
          <w:color w:val="010000"/>
          <w:sz w:val="24"/>
          <w:szCs w:val="27"/>
          <w:lang w:eastAsia="tr-TR"/>
        </w:rPr>
        <w:t>Kanunu,...</w:t>
      </w:r>
      <w:proofErr w:type="gramEnd"/>
      <w:r w:rsidRPr="00C71DDB">
        <w:rPr>
          <w:rFonts w:ascii="Times New Roman" w:eastAsia="Times New Roman" w:hAnsi="Times New Roman" w:cs="Times New Roman"/>
          <w:color w:val="010000"/>
          <w:sz w:val="24"/>
          <w:szCs w:val="27"/>
          <w:lang w:eastAsia="tr-TR"/>
        </w:rPr>
        <w:t xml:space="preserve"> gibi fakat bu kanunlar 126. maddede yer alan "Bütçe ile ilgili hüküm" ihtiva etmezler. Aksi düşünülürse bu yasaların bütçeye bir madde konularak kaldırılmaları veya değiştirilmeleri mümkün olabilir" ... "kanunlar, bütçe kanunlarından ayrı temel yapıyı, uygulamayı ve gayeyi içeren yasama belgeleri..." olmaları nedeni ile Vakıflarla ilgili kanunun bütçe kanunu ile değiştirilmesi bu bakımdan olanaksızdır.</w:t>
      </w:r>
    </w:p>
    <w:p w:rsidR="00BE5322" w:rsidRDefault="00BE5322" w:rsidP="00BE532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Sonuç olarak: iptali istenen 2116 sayılı Yasanın 6. maddesi "bütçe ile ilgili" olmadığı halde bütçe kanununda yer aldığı için Anayasa'nın 126. maddesine aykırıdır. Ve iptali gerekmektedir." denilmektedir.</w:t>
      </w:r>
      <w:r>
        <w:rPr>
          <w:rFonts w:ascii="Times New Roman" w:eastAsia="Times New Roman" w:hAnsi="Times New Roman" w:cs="Times New Roman"/>
          <w:color w:val="010000"/>
          <w:sz w:val="24"/>
          <w:szCs w:val="27"/>
          <w:lang w:eastAsia="tr-TR"/>
        </w:rPr>
        <w:t>"</w:t>
      </w:r>
    </w:p>
    <w:p w:rsidR="00BC1A9A" w:rsidRPr="00BE5322" w:rsidRDefault="00AF3C25" w:rsidP="00BE5322">
      <w:pPr>
        <w:spacing w:before="240" w:after="100" w:afterAutospacing="1" w:line="240" w:lineRule="auto"/>
        <w:ind w:firstLine="709"/>
        <w:jc w:val="both"/>
        <w:rPr>
          <w:rFonts w:ascii="Times New Roman" w:hAnsi="Times New Roman" w:cs="Times New Roman"/>
          <w:sz w:val="24"/>
        </w:rPr>
      </w:pPr>
    </w:p>
    <w:sectPr w:rsidR="00BC1A9A" w:rsidRPr="00BE5322" w:rsidSect="00BE532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C25" w:rsidRDefault="00AF3C25" w:rsidP="00BE5322">
      <w:pPr>
        <w:spacing w:line="240" w:lineRule="auto"/>
      </w:pPr>
      <w:r>
        <w:separator/>
      </w:r>
    </w:p>
  </w:endnote>
  <w:endnote w:type="continuationSeparator" w:id="0">
    <w:p w:rsidR="00AF3C25" w:rsidRDefault="00AF3C25" w:rsidP="00BE5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22" w:rsidRDefault="00BE5322"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E5322" w:rsidRDefault="00BE5322" w:rsidP="00BE53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22" w:rsidRPr="00BE5322" w:rsidRDefault="00BE5322" w:rsidP="00730AF9">
    <w:pPr>
      <w:pStyle w:val="AltBilgi"/>
      <w:framePr w:wrap="around" w:vAnchor="text" w:hAnchor="margin" w:xAlign="right" w:y="1"/>
      <w:rPr>
        <w:rStyle w:val="SayfaNumaras"/>
        <w:rFonts w:ascii="Times New Roman" w:hAnsi="Times New Roman" w:cs="Times New Roman"/>
      </w:rPr>
    </w:pPr>
    <w:r w:rsidRPr="00BE5322">
      <w:rPr>
        <w:rStyle w:val="SayfaNumaras"/>
        <w:rFonts w:ascii="Times New Roman" w:hAnsi="Times New Roman" w:cs="Times New Roman"/>
      </w:rPr>
      <w:fldChar w:fldCharType="begin"/>
    </w:r>
    <w:r w:rsidRPr="00BE5322">
      <w:rPr>
        <w:rStyle w:val="SayfaNumaras"/>
        <w:rFonts w:ascii="Times New Roman" w:hAnsi="Times New Roman" w:cs="Times New Roman"/>
      </w:rPr>
      <w:instrText xml:space="preserve"> PAGE </w:instrText>
    </w:r>
    <w:r w:rsidRPr="00BE5322">
      <w:rPr>
        <w:rStyle w:val="SayfaNumaras"/>
        <w:rFonts w:ascii="Times New Roman" w:hAnsi="Times New Roman" w:cs="Times New Roman"/>
      </w:rPr>
      <w:fldChar w:fldCharType="separate"/>
    </w:r>
    <w:r w:rsidRPr="00BE5322">
      <w:rPr>
        <w:rStyle w:val="SayfaNumaras"/>
        <w:rFonts w:ascii="Times New Roman" w:hAnsi="Times New Roman" w:cs="Times New Roman"/>
        <w:noProof/>
      </w:rPr>
      <w:t>1</w:t>
    </w:r>
    <w:r w:rsidRPr="00BE5322">
      <w:rPr>
        <w:rStyle w:val="SayfaNumaras"/>
        <w:rFonts w:ascii="Times New Roman" w:hAnsi="Times New Roman" w:cs="Times New Roman"/>
      </w:rPr>
      <w:fldChar w:fldCharType="end"/>
    </w:r>
  </w:p>
  <w:p w:rsidR="00BE5322" w:rsidRPr="00BE5322" w:rsidRDefault="00BE5322" w:rsidP="00BE532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C25" w:rsidRDefault="00AF3C25" w:rsidP="00BE5322">
      <w:pPr>
        <w:spacing w:line="240" w:lineRule="auto"/>
      </w:pPr>
      <w:r>
        <w:separator/>
      </w:r>
    </w:p>
  </w:footnote>
  <w:footnote w:type="continuationSeparator" w:id="0">
    <w:p w:rsidR="00AF3C25" w:rsidRDefault="00AF3C25" w:rsidP="00BE5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22" w:rsidRDefault="00BE5322" w:rsidP="00BE5322">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Sayısı:1979/14</w:t>
    </w:r>
  </w:p>
  <w:p w:rsidR="00BE5322" w:rsidRDefault="00BE5322" w:rsidP="00BE532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Sayısı:1979/33</w:t>
    </w:r>
  </w:p>
  <w:p w:rsidR="00BE5322" w:rsidRPr="00BE5322" w:rsidRDefault="00BE5322" w:rsidP="00BE53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22"/>
    <w:rsid w:val="00041752"/>
    <w:rsid w:val="00065B42"/>
    <w:rsid w:val="000E45EB"/>
    <w:rsid w:val="000F1EDB"/>
    <w:rsid w:val="00124B66"/>
    <w:rsid w:val="00286DD9"/>
    <w:rsid w:val="00347E8D"/>
    <w:rsid w:val="00503F1E"/>
    <w:rsid w:val="00821D56"/>
    <w:rsid w:val="008D57F7"/>
    <w:rsid w:val="00947847"/>
    <w:rsid w:val="00AF3C25"/>
    <w:rsid w:val="00B04393"/>
    <w:rsid w:val="00B52EFE"/>
    <w:rsid w:val="00BE5322"/>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BD692-7A4D-4A78-A46A-26CE9E4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32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BE53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E5322"/>
  </w:style>
  <w:style w:type="paragraph" w:styleId="AltBilgi">
    <w:name w:val="footer"/>
    <w:basedOn w:val="Normal"/>
    <w:link w:val="AltBilgiChar"/>
    <w:uiPriority w:val="99"/>
    <w:unhideWhenUsed/>
    <w:rsid w:val="00BE53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E5322"/>
  </w:style>
  <w:style w:type="character" w:styleId="SayfaNumaras">
    <w:name w:val="page number"/>
    <w:basedOn w:val="VarsaylanParagrafYazTipi"/>
    <w:uiPriority w:val="99"/>
    <w:semiHidden/>
    <w:unhideWhenUsed/>
    <w:rsid w:val="00BE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2020-06-27T20:13:00Z</dcterms:created>
  <dcterms:modified xsi:type="dcterms:W3CDTF">2020-06-27T20:14:00Z</dcterms:modified>
</cp:coreProperties>
</file>