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64CE" w:rsidRDefault="002A64CE" w:rsidP="002A64C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2A64CE" w:rsidRPr="006F6230" w:rsidRDefault="002A64CE" w:rsidP="002A64C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 xml:space="preserve">II. İTİRAZIN </w:t>
      </w:r>
      <w:proofErr w:type="gramStart"/>
      <w:r w:rsidRPr="006F6230">
        <w:rPr>
          <w:rFonts w:ascii="Times New Roman" w:eastAsia="Times New Roman" w:hAnsi="Times New Roman" w:cs="Times New Roman"/>
          <w:color w:val="010000"/>
          <w:sz w:val="24"/>
          <w:szCs w:val="27"/>
          <w:lang w:eastAsia="tr-TR"/>
        </w:rPr>
        <w:t>GEREKÇESİ :</w:t>
      </w:r>
      <w:proofErr w:type="gramEnd"/>
    </w:p>
    <w:p w:rsidR="002A64CE" w:rsidRPr="006F6230" w:rsidRDefault="002A64CE" w:rsidP="002A64C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 xml:space="preserve">Solhan Sulh Ceza Mahkemesinin Anayasa Mahkemesine başvurma kararında </w:t>
      </w:r>
      <w:proofErr w:type="gramStart"/>
      <w:r w:rsidRPr="006F6230">
        <w:rPr>
          <w:rFonts w:ascii="Times New Roman" w:eastAsia="Times New Roman" w:hAnsi="Times New Roman" w:cs="Times New Roman"/>
          <w:color w:val="010000"/>
          <w:sz w:val="24"/>
          <w:szCs w:val="27"/>
          <w:lang w:eastAsia="tr-TR"/>
        </w:rPr>
        <w:t>özetle :</w:t>
      </w:r>
      <w:proofErr w:type="gramEnd"/>
    </w:p>
    <w:p w:rsidR="002A64CE" w:rsidRDefault="002A64CE" w:rsidP="002A64CE">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6F6230">
        <w:rPr>
          <w:rFonts w:ascii="Times New Roman" w:eastAsia="Times New Roman" w:hAnsi="Times New Roman" w:cs="Times New Roman"/>
          <w:color w:val="010000"/>
          <w:sz w:val="24"/>
          <w:szCs w:val="27"/>
          <w:lang w:eastAsia="tr-TR"/>
        </w:rPr>
        <w:t xml:space="preserve">"Anayasa hükümleri gereğince yürütme ve yargı görevlerinin ayrılmış olmasına karşın, Ceza Muhakemeleri Usulü Yasasının 423. maddesinin ikinci fıkrası hükümleri, Adalet Bakanlığının her iki görevi birden üstlenmesine yol açmaktadır. Bu durum, Anayasanın 6. ve 7. maddeleri hükümleriyle bağdaştırılamaz. Ayrıca söz konusu fıkra, Adalet Bakanlığına mahkemelerin işlerine karışma yetkisi vermesi bakımından, Anayasanın hâkimlerin görevlerinde bağımsız oldukları, hiçbir organ, makam, merci veya kişinin, yargı yetkisinin kullanılmasında mahkemelere ve hâkimlere emir ve talimat </w:t>
      </w:r>
      <w:proofErr w:type="spellStart"/>
      <w:r w:rsidRPr="006F6230">
        <w:rPr>
          <w:rFonts w:ascii="Times New Roman" w:eastAsia="Times New Roman" w:hAnsi="Times New Roman" w:cs="Times New Roman"/>
          <w:color w:val="010000"/>
          <w:sz w:val="24"/>
          <w:szCs w:val="27"/>
          <w:lang w:eastAsia="tr-TR"/>
        </w:rPr>
        <w:t>veremiyeceği</w:t>
      </w:r>
      <w:proofErr w:type="spellEnd"/>
      <w:r w:rsidRPr="006F6230">
        <w:rPr>
          <w:rFonts w:ascii="Times New Roman" w:eastAsia="Times New Roman" w:hAnsi="Times New Roman" w:cs="Times New Roman"/>
          <w:color w:val="010000"/>
          <w:sz w:val="24"/>
          <w:szCs w:val="27"/>
          <w:lang w:eastAsia="tr-TR"/>
        </w:rPr>
        <w:t>; genelge gönderemeyeceği; tavsiye ve telkinde bulunamayacağı kurallarını içeren 132. maddesine de aykırıdır" denilmektedir.</w:t>
      </w:r>
      <w:r>
        <w:rPr>
          <w:rFonts w:ascii="Times New Roman" w:eastAsia="Times New Roman" w:hAnsi="Times New Roman" w:cs="Times New Roman"/>
          <w:color w:val="010000"/>
          <w:sz w:val="24"/>
          <w:szCs w:val="27"/>
          <w:lang w:eastAsia="tr-TR"/>
        </w:rPr>
        <w:t>"</w:t>
      </w:r>
      <w:bookmarkStart w:id="0" w:name="_GoBack"/>
      <w:bookmarkEnd w:id="0"/>
    </w:p>
    <w:p w:rsidR="00A75DEA" w:rsidRPr="002A64CE" w:rsidRDefault="00A75DEA" w:rsidP="002A64CE">
      <w:pPr>
        <w:spacing w:before="240" w:after="100" w:afterAutospacing="1" w:line="240" w:lineRule="auto"/>
        <w:ind w:firstLine="709"/>
        <w:jc w:val="both"/>
        <w:rPr>
          <w:rFonts w:ascii="Times New Roman" w:hAnsi="Times New Roman" w:cs="Times New Roman"/>
          <w:sz w:val="24"/>
        </w:rPr>
      </w:pPr>
    </w:p>
    <w:sectPr w:rsidR="00A75DEA" w:rsidRPr="002A64CE" w:rsidSect="002A64CE">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772" w:rsidRDefault="003B0772" w:rsidP="002A64CE">
      <w:pPr>
        <w:spacing w:after="0" w:line="240" w:lineRule="auto"/>
      </w:pPr>
      <w:r>
        <w:separator/>
      </w:r>
    </w:p>
  </w:endnote>
  <w:endnote w:type="continuationSeparator" w:id="0">
    <w:p w:rsidR="003B0772" w:rsidRDefault="003B0772" w:rsidP="002A64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CE" w:rsidRDefault="002A64CE"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A64CE" w:rsidRDefault="002A64CE" w:rsidP="002A64C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CE" w:rsidRPr="002A64CE" w:rsidRDefault="002A64CE" w:rsidP="002D7B7B">
    <w:pPr>
      <w:pStyle w:val="Altbilgi"/>
      <w:framePr w:wrap="around" w:vAnchor="text" w:hAnchor="margin" w:xAlign="right" w:y="1"/>
      <w:rPr>
        <w:rStyle w:val="SayfaNumaras"/>
        <w:rFonts w:ascii="Times New Roman" w:hAnsi="Times New Roman" w:cs="Times New Roman"/>
      </w:rPr>
    </w:pPr>
    <w:r w:rsidRPr="002A64CE">
      <w:rPr>
        <w:rStyle w:val="SayfaNumaras"/>
        <w:rFonts w:ascii="Times New Roman" w:hAnsi="Times New Roman" w:cs="Times New Roman"/>
      </w:rPr>
      <w:fldChar w:fldCharType="begin"/>
    </w:r>
    <w:r w:rsidRPr="002A64CE">
      <w:rPr>
        <w:rStyle w:val="SayfaNumaras"/>
        <w:rFonts w:ascii="Times New Roman" w:hAnsi="Times New Roman" w:cs="Times New Roman"/>
      </w:rPr>
      <w:instrText xml:space="preserve">PAGE  </w:instrText>
    </w:r>
    <w:r w:rsidRPr="002A64C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2A64CE">
      <w:rPr>
        <w:rStyle w:val="SayfaNumaras"/>
        <w:rFonts w:ascii="Times New Roman" w:hAnsi="Times New Roman" w:cs="Times New Roman"/>
      </w:rPr>
      <w:fldChar w:fldCharType="end"/>
    </w:r>
  </w:p>
  <w:p w:rsidR="002A64CE" w:rsidRPr="002A64CE" w:rsidRDefault="002A64CE" w:rsidP="002A64C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772" w:rsidRDefault="003B0772" w:rsidP="002A64CE">
      <w:pPr>
        <w:spacing w:after="0" w:line="240" w:lineRule="auto"/>
      </w:pPr>
      <w:r>
        <w:separator/>
      </w:r>
    </w:p>
  </w:footnote>
  <w:footnote w:type="continuationSeparator" w:id="0">
    <w:p w:rsidR="003B0772" w:rsidRDefault="003B0772" w:rsidP="002A64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64CE" w:rsidRDefault="002A64CE" w:rsidP="002A64C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Sayısı:1978/51</w:t>
    </w:r>
  </w:p>
  <w:p w:rsidR="002A64CE" w:rsidRDefault="002A64CE" w:rsidP="002A64C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Sayısı:1978/44</w:t>
    </w:r>
  </w:p>
  <w:p w:rsidR="002A64CE" w:rsidRPr="002A64CE" w:rsidRDefault="002A64CE" w:rsidP="002A64C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4CE"/>
    <w:rsid w:val="002A64CE"/>
    <w:rsid w:val="003B0772"/>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A6F2FD-4D47-42D1-B3F1-85B545B1F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4C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A64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A64CE"/>
  </w:style>
  <w:style w:type="paragraph" w:styleId="Altbilgi">
    <w:name w:val="footer"/>
    <w:basedOn w:val="Normal"/>
    <w:link w:val="AltbilgiChar"/>
    <w:uiPriority w:val="99"/>
    <w:unhideWhenUsed/>
    <w:rsid w:val="002A64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A64CE"/>
  </w:style>
  <w:style w:type="character" w:styleId="SayfaNumaras">
    <w:name w:val="page number"/>
    <w:basedOn w:val="VarsaylanParagrafYazTipi"/>
    <w:uiPriority w:val="99"/>
    <w:semiHidden/>
    <w:unhideWhenUsed/>
    <w:rsid w:val="002A64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2020-06-25T10:39:00Z</dcterms:created>
  <dcterms:modified xsi:type="dcterms:W3CDTF">2020-06-25T10:40:00Z</dcterms:modified>
</cp:coreProperties>
</file>