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7B"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B787B" w:rsidRPr="0072261A"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I- Davacının gerekçesi </w:t>
      </w:r>
      <w:proofErr w:type="gramStart"/>
      <w:r w:rsidRPr="0072261A">
        <w:rPr>
          <w:rFonts w:ascii="Times New Roman" w:eastAsia="Times New Roman" w:hAnsi="Times New Roman" w:cs="Times New Roman"/>
          <w:color w:val="010000"/>
          <w:sz w:val="24"/>
          <w:szCs w:val="27"/>
          <w:lang w:eastAsia="tr-TR"/>
        </w:rPr>
        <w:t>öz</w:t>
      </w:r>
      <w:bookmarkStart w:id="0" w:name="_GoBack"/>
      <w:bookmarkEnd w:id="0"/>
      <w:r w:rsidRPr="0072261A">
        <w:rPr>
          <w:rFonts w:ascii="Times New Roman" w:eastAsia="Times New Roman" w:hAnsi="Times New Roman" w:cs="Times New Roman"/>
          <w:color w:val="010000"/>
          <w:sz w:val="24"/>
          <w:szCs w:val="27"/>
          <w:lang w:eastAsia="tr-TR"/>
        </w:rPr>
        <w:t>eti :</w:t>
      </w:r>
      <w:proofErr w:type="gramEnd"/>
    </w:p>
    <w:p w:rsidR="00DB787B" w:rsidRPr="0072261A"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648 sayılı Siyasî Partiler Kanununun 74. maddesini değiştiren 1017 sayılı Kanun Anayasa Mahkemesince iptal edildikten sonra bu madde 1219 sayılı Kanunla yine eski biçimde düzenlenmiştir.</w:t>
      </w:r>
    </w:p>
    <w:p w:rsidR="00DB787B" w:rsidRPr="0072261A"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Anayasa'nın 56. maddesi siyasî partileri ayırım gözetmeksizin demokratik siyasî hayatın vazgeçilmez unsurları saydığı halde 1219 sayılı Kanun bunları ikiye bölmüş ve en az yüzde beş oranında oy alan partilere Devletçe yardım edilmesinin sağlanmasına karşılık bu oranda ey alamayanları yardımdan yoksun bırakmıştır. Siyasî partilere Devletçe yardım bir zorunluluğun sonucu ise bu zorunluluk siyasî partilerin bir bölümü değil tümü bakımından var demektir. Kanunun siyasî partileri ikiye ayırması adalet ve eşitlik ilkeleriyle de bağdaşamaz ve bir bölüm partileri demokratik siyasî hayatın vazgeçilir unsurlar durumuna düşürür.</w:t>
      </w:r>
    </w:p>
    <w:p w:rsidR="00DB787B" w:rsidRPr="0072261A"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Anayasa'nın 55. maddesinde seçimlerin eşitlik esasına göre yapılacağı belirtilmiştir. Devlet siyasî partilerin bir </w:t>
      </w:r>
      <w:proofErr w:type="spellStart"/>
      <w:r w:rsidRPr="0072261A">
        <w:rPr>
          <w:rFonts w:ascii="Times New Roman" w:eastAsia="Times New Roman" w:hAnsi="Times New Roman" w:cs="Times New Roman"/>
          <w:color w:val="010000"/>
          <w:sz w:val="24"/>
          <w:szCs w:val="27"/>
          <w:lang w:eastAsia="tr-TR"/>
        </w:rPr>
        <w:t>bölmüne</w:t>
      </w:r>
      <w:proofErr w:type="spellEnd"/>
      <w:r w:rsidRPr="0072261A">
        <w:rPr>
          <w:rFonts w:ascii="Times New Roman" w:eastAsia="Times New Roman" w:hAnsi="Times New Roman" w:cs="Times New Roman"/>
          <w:color w:val="010000"/>
          <w:sz w:val="24"/>
          <w:szCs w:val="27"/>
          <w:lang w:eastAsia="tr-TR"/>
        </w:rPr>
        <w:t xml:space="preserve"> malî yardım yapar, bir bölümünden yardımı esirgerse seçimlerin eşitliğinden söz edilemez.</w:t>
      </w:r>
    </w:p>
    <w:p w:rsidR="00DB787B" w:rsidRPr="0072261A"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Öte yandan kanun, Devlet yardımının harcanması bakımından bir sınırlama getirmemiştir. Yardım paralarının partilerin yalnız kamu yararına olan faaliyetlerine </w:t>
      </w:r>
      <w:proofErr w:type="spellStart"/>
      <w:r w:rsidRPr="0072261A">
        <w:rPr>
          <w:rFonts w:ascii="Times New Roman" w:eastAsia="Times New Roman" w:hAnsi="Times New Roman" w:cs="Times New Roman"/>
          <w:color w:val="010000"/>
          <w:sz w:val="24"/>
          <w:szCs w:val="27"/>
          <w:lang w:eastAsia="tr-TR"/>
        </w:rPr>
        <w:t>sarfedilebilmesi</w:t>
      </w:r>
      <w:proofErr w:type="spellEnd"/>
      <w:r w:rsidRPr="0072261A">
        <w:rPr>
          <w:rFonts w:ascii="Times New Roman" w:eastAsia="Times New Roman" w:hAnsi="Times New Roman" w:cs="Times New Roman"/>
          <w:color w:val="010000"/>
          <w:sz w:val="24"/>
          <w:szCs w:val="27"/>
          <w:lang w:eastAsia="tr-TR"/>
        </w:rPr>
        <w:t xml:space="preserve"> gerekir. Aksi halde yardım Anayasa'ya aykırı olur.</w:t>
      </w:r>
    </w:p>
    <w:p w:rsidR="00DB787B" w:rsidRDefault="00DB787B" w:rsidP="00DB787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1219 sayılı Kanun, yukarıda açıklandığı üzere, Anayasa'nın 12</w:t>
      </w:r>
      <w:proofErr w:type="gramStart"/>
      <w:r w:rsidRPr="0072261A">
        <w:rPr>
          <w:rFonts w:ascii="Times New Roman" w:eastAsia="Times New Roman" w:hAnsi="Times New Roman" w:cs="Times New Roman"/>
          <w:color w:val="010000"/>
          <w:sz w:val="24"/>
          <w:szCs w:val="27"/>
          <w:lang w:eastAsia="tr-TR"/>
        </w:rPr>
        <w:t>.,</w:t>
      </w:r>
      <w:proofErr w:type="gramEnd"/>
      <w:r w:rsidRPr="0072261A">
        <w:rPr>
          <w:rFonts w:ascii="Times New Roman" w:eastAsia="Times New Roman" w:hAnsi="Times New Roman" w:cs="Times New Roman"/>
          <w:color w:val="010000"/>
          <w:sz w:val="24"/>
          <w:szCs w:val="27"/>
          <w:lang w:eastAsia="tr-TR"/>
        </w:rPr>
        <w:t xml:space="preserve"> 55. ve 56. maddelerine aykırı bulunduğundan iptali gereklidir.</w:t>
      </w:r>
      <w:r>
        <w:rPr>
          <w:rFonts w:ascii="Times New Roman" w:eastAsia="Times New Roman" w:hAnsi="Times New Roman" w:cs="Times New Roman"/>
          <w:color w:val="010000"/>
          <w:sz w:val="24"/>
          <w:szCs w:val="27"/>
          <w:lang w:eastAsia="tr-TR"/>
        </w:rPr>
        <w:t>"</w:t>
      </w:r>
    </w:p>
    <w:p w:rsidR="00A75DEA" w:rsidRPr="00DB787B" w:rsidRDefault="00A75DEA" w:rsidP="00DB787B">
      <w:pPr>
        <w:spacing w:before="240" w:after="100" w:afterAutospacing="1" w:line="240" w:lineRule="auto"/>
        <w:ind w:firstLine="709"/>
        <w:jc w:val="both"/>
        <w:rPr>
          <w:rFonts w:ascii="Times New Roman" w:hAnsi="Times New Roman" w:cs="Times New Roman"/>
          <w:sz w:val="24"/>
        </w:rPr>
      </w:pPr>
    </w:p>
    <w:sectPr w:rsidR="00A75DEA" w:rsidRPr="00DB787B" w:rsidSect="00DB787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72" w:rsidRDefault="00420772" w:rsidP="00DB787B">
      <w:pPr>
        <w:spacing w:after="0" w:line="240" w:lineRule="auto"/>
      </w:pPr>
      <w:r>
        <w:separator/>
      </w:r>
    </w:p>
  </w:endnote>
  <w:endnote w:type="continuationSeparator" w:id="0">
    <w:p w:rsidR="00420772" w:rsidRDefault="00420772" w:rsidP="00DB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7B" w:rsidRDefault="00DB787B"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787B" w:rsidRDefault="00DB787B" w:rsidP="00DB78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7B" w:rsidRPr="00DB787B" w:rsidRDefault="00DB787B" w:rsidP="00DD4800">
    <w:pPr>
      <w:pStyle w:val="Altbilgi"/>
      <w:framePr w:wrap="around" w:vAnchor="text" w:hAnchor="margin" w:xAlign="right" w:y="1"/>
      <w:rPr>
        <w:rStyle w:val="SayfaNumaras"/>
        <w:rFonts w:ascii="Times New Roman" w:hAnsi="Times New Roman" w:cs="Times New Roman"/>
      </w:rPr>
    </w:pPr>
    <w:r w:rsidRPr="00DB787B">
      <w:rPr>
        <w:rStyle w:val="SayfaNumaras"/>
        <w:rFonts w:ascii="Times New Roman" w:hAnsi="Times New Roman" w:cs="Times New Roman"/>
      </w:rPr>
      <w:fldChar w:fldCharType="begin"/>
    </w:r>
    <w:r w:rsidRPr="00DB787B">
      <w:rPr>
        <w:rStyle w:val="SayfaNumaras"/>
        <w:rFonts w:ascii="Times New Roman" w:hAnsi="Times New Roman" w:cs="Times New Roman"/>
      </w:rPr>
      <w:instrText xml:space="preserve">PAGE  </w:instrText>
    </w:r>
    <w:r w:rsidRPr="00DB787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787B">
      <w:rPr>
        <w:rStyle w:val="SayfaNumaras"/>
        <w:rFonts w:ascii="Times New Roman" w:hAnsi="Times New Roman" w:cs="Times New Roman"/>
      </w:rPr>
      <w:fldChar w:fldCharType="end"/>
    </w:r>
  </w:p>
  <w:p w:rsidR="00DB787B" w:rsidRPr="00DB787B" w:rsidRDefault="00DB787B" w:rsidP="00DB787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72" w:rsidRDefault="00420772" w:rsidP="00DB787B">
      <w:pPr>
        <w:spacing w:after="0" w:line="240" w:lineRule="auto"/>
      </w:pPr>
      <w:r>
        <w:separator/>
      </w:r>
    </w:p>
  </w:footnote>
  <w:footnote w:type="continuationSeparator" w:id="0">
    <w:p w:rsidR="00420772" w:rsidRDefault="00420772" w:rsidP="00DB7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7B" w:rsidRDefault="00DB787B" w:rsidP="00DB787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Sayısı:1970/12</w:t>
    </w:r>
  </w:p>
  <w:p w:rsidR="00DB787B" w:rsidRPr="00DB787B" w:rsidRDefault="00DB787B" w:rsidP="00DB787B">
    <w:pPr>
      <w:pStyle w:val="stbilgi"/>
    </w:pPr>
    <w:r>
      <w:rPr>
        <w:rFonts w:ascii="Times New Roman" w:eastAsia="Times New Roman" w:hAnsi="Times New Roman" w:cs="Times New Roman"/>
        <w:b/>
        <w:color w:val="010000"/>
        <w:sz w:val="24"/>
        <w:szCs w:val="27"/>
        <w:lang w:eastAsia="tr-TR"/>
      </w:rPr>
      <w:t>Karar Sayısı:1971/13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7B"/>
    <w:rsid w:val="00420772"/>
    <w:rsid w:val="00A75DEA"/>
    <w:rsid w:val="00DB7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387A0-B704-4E2E-BA1C-87762A2E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78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787B"/>
  </w:style>
  <w:style w:type="paragraph" w:styleId="Altbilgi">
    <w:name w:val="footer"/>
    <w:basedOn w:val="Normal"/>
    <w:link w:val="AltbilgiChar"/>
    <w:uiPriority w:val="99"/>
    <w:unhideWhenUsed/>
    <w:rsid w:val="00DB78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787B"/>
  </w:style>
  <w:style w:type="character" w:styleId="SayfaNumaras">
    <w:name w:val="page number"/>
    <w:basedOn w:val="VarsaylanParagrafYazTipi"/>
    <w:uiPriority w:val="99"/>
    <w:semiHidden/>
    <w:unhideWhenUsed/>
    <w:rsid w:val="00DB787B"/>
  </w:style>
  <w:style w:type="character" w:styleId="Kpr">
    <w:name w:val="Hyperlink"/>
    <w:basedOn w:val="VarsaylanParagrafYazTipi"/>
    <w:uiPriority w:val="99"/>
    <w:semiHidden/>
    <w:unhideWhenUsed/>
    <w:rsid w:val="00DB7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2020-06-21T13:42:00Z</dcterms:created>
  <dcterms:modified xsi:type="dcterms:W3CDTF">2020-06-21T13:43:00Z</dcterms:modified>
</cp:coreProperties>
</file>