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FBF" w:rsidRDefault="00DE5FBF" w:rsidP="00DE5FB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DE5FBF" w:rsidRPr="003545B9" w:rsidRDefault="00DE5FBF" w:rsidP="00DE5FB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 xml:space="preserve">II- İtiraz yoluna başvuran mahkemenin gerekçesi </w:t>
      </w:r>
      <w:proofErr w:type="gramStart"/>
      <w:r w:rsidRPr="003545B9">
        <w:rPr>
          <w:rFonts w:ascii="Times New Roman" w:eastAsia="Times New Roman" w:hAnsi="Times New Roman" w:cs="Times New Roman"/>
          <w:color w:val="010000"/>
          <w:sz w:val="24"/>
          <w:szCs w:val="27"/>
          <w:lang w:eastAsia="tr-TR"/>
        </w:rPr>
        <w:t>özeti :</w:t>
      </w:r>
      <w:proofErr w:type="gramEnd"/>
    </w:p>
    <w:p w:rsidR="00DE5FBF" w:rsidRPr="003545B9" w:rsidRDefault="00DE5FBF" w:rsidP="00DE5FB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1072 sayılı Kanunun 2. maddesinin son fıkrası, verilecek cezanın tecil edilemeyeceğini hüküm altına aldığı için Anayasa'nın 12. maddesine aykırıdır Çünkü kanunî şartlara uyunca bir hırsızın, bir dolandırıcının veya bunlara benzer başka suçluların cezalan tecil edilebilmektedir. Böylece bu gibilere bir bakıma imtiyaz tanınmış demektir.</w:t>
      </w:r>
    </w:p>
    <w:p w:rsidR="00DE5FBF" w:rsidRDefault="00DE5FBF" w:rsidP="00DE5FB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545B9">
        <w:rPr>
          <w:rFonts w:ascii="Times New Roman" w:eastAsia="Times New Roman" w:hAnsi="Times New Roman" w:cs="Times New Roman"/>
          <w:color w:val="010000"/>
          <w:sz w:val="24"/>
          <w:szCs w:val="27"/>
          <w:lang w:eastAsia="tr-TR"/>
        </w:rPr>
        <w:t>Tescili tüm kaldıran hükümleri izah etmek güçtür. Suçun çeşidi her zaman suçlunun ve suçun kötülük derecesine tekabül etmez. Onun için tecili yasaklayan hükümler zararlı sonuçlar doğurmağa elverişlidir.</w:t>
      </w:r>
      <w:r>
        <w:rPr>
          <w:rFonts w:ascii="Times New Roman" w:eastAsia="Times New Roman" w:hAnsi="Times New Roman" w:cs="Times New Roman"/>
          <w:color w:val="010000"/>
          <w:sz w:val="24"/>
          <w:szCs w:val="27"/>
          <w:lang w:eastAsia="tr-TR"/>
        </w:rPr>
        <w:t>"</w:t>
      </w:r>
      <w:bookmarkStart w:id="0" w:name="_GoBack"/>
      <w:bookmarkEnd w:id="0"/>
    </w:p>
    <w:p w:rsidR="00A75DEA" w:rsidRPr="00DE5FBF" w:rsidRDefault="00A75DEA" w:rsidP="00DE5FBF">
      <w:pPr>
        <w:spacing w:before="240" w:after="100" w:afterAutospacing="1" w:line="240" w:lineRule="auto"/>
        <w:ind w:firstLine="709"/>
        <w:jc w:val="both"/>
        <w:rPr>
          <w:rFonts w:ascii="Times New Roman" w:hAnsi="Times New Roman" w:cs="Times New Roman"/>
          <w:sz w:val="24"/>
        </w:rPr>
      </w:pPr>
    </w:p>
    <w:sectPr w:rsidR="00A75DEA" w:rsidRPr="00DE5FBF" w:rsidSect="00DE5FB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BDE" w:rsidRDefault="00023BDE" w:rsidP="00DE5FBF">
      <w:pPr>
        <w:spacing w:after="0" w:line="240" w:lineRule="auto"/>
      </w:pPr>
      <w:r>
        <w:separator/>
      </w:r>
    </w:p>
  </w:endnote>
  <w:endnote w:type="continuationSeparator" w:id="0">
    <w:p w:rsidR="00023BDE" w:rsidRDefault="00023BDE" w:rsidP="00DE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FBF" w:rsidRDefault="00DE5FBF"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E5FBF" w:rsidRDefault="00DE5FBF" w:rsidP="00DE5FB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FBF" w:rsidRPr="00DE5FBF" w:rsidRDefault="00DE5FBF" w:rsidP="00DD4800">
    <w:pPr>
      <w:pStyle w:val="Altbilgi"/>
      <w:framePr w:wrap="around" w:vAnchor="text" w:hAnchor="margin" w:xAlign="right" w:y="1"/>
      <w:rPr>
        <w:rStyle w:val="SayfaNumaras"/>
        <w:rFonts w:ascii="Times New Roman" w:hAnsi="Times New Roman" w:cs="Times New Roman"/>
      </w:rPr>
    </w:pPr>
    <w:r w:rsidRPr="00DE5FBF">
      <w:rPr>
        <w:rStyle w:val="SayfaNumaras"/>
        <w:rFonts w:ascii="Times New Roman" w:hAnsi="Times New Roman" w:cs="Times New Roman"/>
      </w:rPr>
      <w:fldChar w:fldCharType="begin"/>
    </w:r>
    <w:r w:rsidRPr="00DE5FBF">
      <w:rPr>
        <w:rStyle w:val="SayfaNumaras"/>
        <w:rFonts w:ascii="Times New Roman" w:hAnsi="Times New Roman" w:cs="Times New Roman"/>
      </w:rPr>
      <w:instrText xml:space="preserve">PAGE  </w:instrText>
    </w:r>
    <w:r w:rsidRPr="00DE5FB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E5FBF">
      <w:rPr>
        <w:rStyle w:val="SayfaNumaras"/>
        <w:rFonts w:ascii="Times New Roman" w:hAnsi="Times New Roman" w:cs="Times New Roman"/>
      </w:rPr>
      <w:fldChar w:fldCharType="end"/>
    </w:r>
  </w:p>
  <w:p w:rsidR="00DE5FBF" w:rsidRPr="00DE5FBF" w:rsidRDefault="00DE5FBF" w:rsidP="00DE5FB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BDE" w:rsidRDefault="00023BDE" w:rsidP="00DE5FBF">
      <w:pPr>
        <w:spacing w:after="0" w:line="240" w:lineRule="auto"/>
      </w:pPr>
      <w:r>
        <w:separator/>
      </w:r>
    </w:p>
  </w:footnote>
  <w:footnote w:type="continuationSeparator" w:id="0">
    <w:p w:rsidR="00023BDE" w:rsidRDefault="00023BDE" w:rsidP="00DE5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FBF" w:rsidRDefault="00DE5FBF" w:rsidP="00DE5FB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sayısı:1970/7</w:t>
    </w:r>
  </w:p>
  <w:p w:rsidR="00DE5FBF" w:rsidRDefault="00DE5FBF" w:rsidP="00DE5FB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sayısı:1970/23</w:t>
    </w:r>
  </w:p>
  <w:p w:rsidR="00DE5FBF" w:rsidRPr="00DE5FBF" w:rsidRDefault="00DE5FBF" w:rsidP="00DE5FB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BF"/>
    <w:rsid w:val="00023BDE"/>
    <w:rsid w:val="00A75DEA"/>
    <w:rsid w:val="00DE5F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89319-F128-4DA0-A752-635E94C2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F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E5F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5FBF"/>
  </w:style>
  <w:style w:type="paragraph" w:styleId="Altbilgi">
    <w:name w:val="footer"/>
    <w:basedOn w:val="Normal"/>
    <w:link w:val="AltbilgiChar"/>
    <w:uiPriority w:val="99"/>
    <w:unhideWhenUsed/>
    <w:rsid w:val="00DE5F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5FBF"/>
  </w:style>
  <w:style w:type="character" w:styleId="SayfaNumaras">
    <w:name w:val="page number"/>
    <w:basedOn w:val="VarsaylanParagrafYazTipi"/>
    <w:uiPriority w:val="99"/>
    <w:semiHidden/>
    <w:unhideWhenUsed/>
    <w:rsid w:val="00DE5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2020-06-21T09:03:00Z</dcterms:created>
  <dcterms:modified xsi:type="dcterms:W3CDTF">2020-06-21T09:03:00Z</dcterms:modified>
</cp:coreProperties>
</file>