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659" w:rsidRDefault="00555659" w:rsidP="0055565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555659" w:rsidRPr="004F6D00" w:rsidRDefault="00555659" w:rsidP="0055565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II. İtiraz yoluna başvuran mahkemenin gerekçesi </w:t>
      </w:r>
      <w:proofErr w:type="gram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özeti :</w:t>
      </w:r>
      <w:proofErr w:type="gramEnd"/>
    </w:p>
    <w:p w:rsidR="00555659" w:rsidRPr="004F6D00" w:rsidRDefault="00555659" w:rsidP="0055565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proofErr w:type="gram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Anayasa'nın 14. maddesinde : (K</w:t>
      </w:r>
      <w:bookmarkStart w:id="0" w:name="_GoBack"/>
      <w:bookmarkEnd w:id="0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işi dokunulmazlığının ve hürriyetinin, kanunun açıkça gösterdiği hallerde, usulüne göre verilmiş hâkim karan olmadıkça kayıtlanamayacağı); 15. maddesinde : (Kanunun açıkça gösterdiği hallerde, usulüne göre verilmiş hâkim kararı olmadıkça, kamu düzeninin gerektirdiği hallerde de, kanunla yetkili kılınan merciin emri bulunmadıkça, kimsenin üstünün, özel kâğıtlarının ve eşyasının aranamayacağı): 16. maddesinde : (Konuta dokunulamayacağı: kanunun açıkça gösterdiği hallerde usulüne göre verilmiş hâkim kararı olmadıkça; millî güvenlik veya kamu düzeni bakımından gecikmede sakınca bulunan hallerde de, kanunla yetkili kılınan merciin emri bulunmadıkça, konuta </w:t>
      </w:r>
      <w:proofErr w:type="spell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girilemiyeceği</w:t>
      </w:r>
      <w:proofErr w:type="spell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, arama </w:t>
      </w:r>
      <w:proofErr w:type="spell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yapılamıyacağı</w:t>
      </w:r>
      <w:proofErr w:type="spell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ve buradaki eşyaya </w:t>
      </w:r>
      <w:proofErr w:type="spell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elkonulamayacağı</w:t>
      </w:r>
      <w:proofErr w:type="spell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); 32. maddesinde : (</w:t>
      </w:r>
      <w:proofErr w:type="spell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Hiçkimsenin</w:t>
      </w:r>
      <w:proofErr w:type="spell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tabiî hâkiminden başka bir merci önüne çıkarılamayacağı; bir kimseyi tabiî hâkimden başka bir merci önüne çıkarma sonucunu doğuran yargı yetkisine sahip olağanüstü merciler kurulamayacağı); 132. maddesinde ise : (Hâkimlerin görevlerinde bağımsız oldukları; hiçbir organ, makam, merci veya kişinin yargı yetkisinin kullanılmasında mahkemelere ve hâkimlere emir ve talimat veremeyeceği) yazılıdır. </w:t>
      </w:r>
      <w:proofErr w:type="gram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Bu hükümler Memurin </w:t>
      </w:r>
      <w:proofErr w:type="spell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Muhakematı</w:t>
      </w:r>
      <w:proofErr w:type="spell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Hakkındaki Kanunla karşılaştırılınca kanunun Anayasa'ya aykırı olduğu açıkça ortaya çıkar. Çünkü bu kanunla ilk tahkikat hâkiminin yetkileri idarî mercie verilmiştir. Yetki bir yargı yetkisidir; fakat idarî merci bir yargı organı değildir.</w:t>
      </w:r>
    </w:p>
    <w:p w:rsidR="00555659" w:rsidRPr="004F6D00" w:rsidRDefault="00555659" w:rsidP="0055565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Öte yandan Anayasa, kuvvetler ayrılığı ilkesini benimsemiştir, </w:t>
      </w:r>
      <w:proofErr w:type="spell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îdarî</w:t>
      </w:r>
      <w:proofErr w:type="spell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mercilerin yargı yetkisi ile donatılması bu ilkeyi zedelemektedir. Memurlar için ayrı bir muhakeme usulünün kabul edilmiş bulunması, Anayasa'nın koyduğu, kanunlar önünde eşitlik ilkesi ile de bağdaşamaz.</w:t>
      </w:r>
    </w:p>
    <w:p w:rsidR="00555659" w:rsidRDefault="00555659" w:rsidP="00555659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Bu nedenlerle Memurin </w:t>
      </w:r>
      <w:proofErr w:type="spellStart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Muhakematı</w:t>
      </w:r>
      <w:proofErr w:type="spellEnd"/>
      <w:r w:rsidRPr="004F6D00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 xml:space="preserve"> Hakkındaki Kanunun tümü Anayasa'ya aykırıdır.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555659" w:rsidRDefault="00A75DEA" w:rsidP="00555659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sectPr w:rsidR="00A75DEA" w:rsidRPr="00555659" w:rsidSect="00555659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ED8" w:rsidRDefault="00A92ED8" w:rsidP="00555659">
      <w:pPr>
        <w:spacing w:after="0" w:line="240" w:lineRule="auto"/>
      </w:pPr>
      <w:r>
        <w:separator/>
      </w:r>
    </w:p>
  </w:endnote>
  <w:endnote w:type="continuationSeparator" w:id="0">
    <w:p w:rsidR="00A92ED8" w:rsidRDefault="00A92ED8" w:rsidP="00555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59" w:rsidRDefault="00555659" w:rsidP="006C4614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555659" w:rsidRDefault="00555659" w:rsidP="00555659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59" w:rsidRPr="00555659" w:rsidRDefault="00555659" w:rsidP="006C4614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555659">
      <w:rPr>
        <w:rStyle w:val="SayfaNumaras"/>
        <w:rFonts w:ascii="Times New Roman" w:hAnsi="Times New Roman" w:cs="Times New Roman"/>
      </w:rPr>
      <w:fldChar w:fldCharType="begin"/>
    </w:r>
    <w:r w:rsidRPr="00555659">
      <w:rPr>
        <w:rStyle w:val="SayfaNumaras"/>
        <w:rFonts w:ascii="Times New Roman" w:hAnsi="Times New Roman" w:cs="Times New Roman"/>
      </w:rPr>
      <w:instrText xml:space="preserve">PAGE  </w:instrText>
    </w:r>
    <w:r w:rsidRPr="00555659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555659">
      <w:rPr>
        <w:rStyle w:val="SayfaNumaras"/>
        <w:rFonts w:ascii="Times New Roman" w:hAnsi="Times New Roman" w:cs="Times New Roman"/>
      </w:rPr>
      <w:fldChar w:fldCharType="end"/>
    </w:r>
  </w:p>
  <w:p w:rsidR="00555659" w:rsidRPr="00555659" w:rsidRDefault="00555659" w:rsidP="00555659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ED8" w:rsidRDefault="00A92ED8" w:rsidP="00555659">
      <w:pPr>
        <w:spacing w:after="0" w:line="240" w:lineRule="auto"/>
      </w:pPr>
      <w:r>
        <w:separator/>
      </w:r>
    </w:p>
  </w:footnote>
  <w:footnote w:type="continuationSeparator" w:id="0">
    <w:p w:rsidR="00A92ED8" w:rsidRDefault="00A92ED8" w:rsidP="00555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659" w:rsidRPr="004F6D00" w:rsidRDefault="00555659" w:rsidP="00555659">
    <w:pPr>
      <w:pStyle w:val="stbilgi"/>
      <w:rPr>
        <w:rFonts w:ascii="Times New Roman" w:hAnsi="Times New Roman" w:cs="Times New Roman"/>
        <w:b/>
        <w:sz w:val="24"/>
      </w:rPr>
    </w:pPr>
    <w:r w:rsidRPr="004F6D00">
      <w:rPr>
        <w:rFonts w:ascii="Times New Roman" w:hAnsi="Times New Roman" w:cs="Times New Roman"/>
        <w:b/>
        <w:sz w:val="24"/>
      </w:rPr>
      <w:t>Esas sayısı:1967/14</w:t>
    </w:r>
  </w:p>
  <w:p w:rsidR="00555659" w:rsidRDefault="00555659" w:rsidP="00555659">
    <w:pPr>
      <w:pStyle w:val="stbilgi"/>
      <w:rPr>
        <w:rFonts w:ascii="Times New Roman" w:hAnsi="Times New Roman" w:cs="Times New Roman"/>
        <w:b/>
        <w:sz w:val="24"/>
      </w:rPr>
    </w:pPr>
    <w:r>
      <w:rPr>
        <w:rFonts w:ascii="Times New Roman" w:hAnsi="Times New Roman" w:cs="Times New Roman"/>
        <w:b/>
        <w:sz w:val="24"/>
      </w:rPr>
      <w:t>Karar sayısı:1967/36</w:t>
    </w:r>
  </w:p>
  <w:p w:rsidR="00555659" w:rsidRPr="00555659" w:rsidRDefault="00555659" w:rsidP="0055565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59"/>
    <w:rsid w:val="00555659"/>
    <w:rsid w:val="00A75DEA"/>
    <w:rsid w:val="00A9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C3033-9E17-45A8-8934-6A0321F1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56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5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55659"/>
  </w:style>
  <w:style w:type="paragraph" w:styleId="Altbilgi">
    <w:name w:val="footer"/>
    <w:basedOn w:val="Normal"/>
    <w:link w:val="AltbilgiChar"/>
    <w:uiPriority w:val="99"/>
    <w:unhideWhenUsed/>
    <w:rsid w:val="005556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55659"/>
  </w:style>
  <w:style w:type="character" w:styleId="SayfaNumaras">
    <w:name w:val="page number"/>
    <w:basedOn w:val="VarsaylanParagrafYazTipi"/>
    <w:uiPriority w:val="99"/>
    <w:semiHidden/>
    <w:unhideWhenUsed/>
    <w:rsid w:val="00555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2020-06-20T14:57:00Z</dcterms:created>
  <dcterms:modified xsi:type="dcterms:W3CDTF">2020-06-20T14:58:00Z</dcterms:modified>
</cp:coreProperties>
</file>