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B98" w:rsidRDefault="00B35B98" w:rsidP="00B35B9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B35B98" w:rsidRPr="0047694D" w:rsidRDefault="00B35B98" w:rsidP="00B35B9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7694D">
        <w:rPr>
          <w:rFonts w:ascii="Times New Roman" w:eastAsia="Times New Roman" w:hAnsi="Times New Roman" w:cs="Times New Roman"/>
          <w:color w:val="010000"/>
          <w:sz w:val="24"/>
          <w:szCs w:val="27"/>
          <w:lang w:eastAsia="tr-TR"/>
        </w:rPr>
        <w:t>II- İTİRAZ YOLU</w:t>
      </w:r>
      <w:bookmarkStart w:id="0" w:name="_GoBack"/>
      <w:bookmarkEnd w:id="0"/>
      <w:r w:rsidRPr="0047694D">
        <w:rPr>
          <w:rFonts w:ascii="Times New Roman" w:eastAsia="Times New Roman" w:hAnsi="Times New Roman" w:cs="Times New Roman"/>
          <w:color w:val="010000"/>
          <w:sz w:val="24"/>
          <w:szCs w:val="27"/>
          <w:lang w:eastAsia="tr-TR"/>
        </w:rPr>
        <w:t xml:space="preserve">NA BAŞVURAN MAHKEMENİN GEREKÇESİ </w:t>
      </w:r>
      <w:proofErr w:type="gramStart"/>
      <w:r w:rsidRPr="0047694D">
        <w:rPr>
          <w:rFonts w:ascii="Times New Roman" w:eastAsia="Times New Roman" w:hAnsi="Times New Roman" w:cs="Times New Roman"/>
          <w:color w:val="010000"/>
          <w:sz w:val="24"/>
          <w:szCs w:val="27"/>
          <w:lang w:eastAsia="tr-TR"/>
        </w:rPr>
        <w:t>ÖZETİ :</w:t>
      </w:r>
      <w:proofErr w:type="gramEnd"/>
    </w:p>
    <w:p w:rsidR="00B35B98" w:rsidRPr="0047694D" w:rsidRDefault="00B35B98" w:rsidP="00B35B9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7694D">
        <w:rPr>
          <w:rFonts w:ascii="Times New Roman" w:eastAsia="Times New Roman" w:hAnsi="Times New Roman" w:cs="Times New Roman"/>
          <w:color w:val="010000"/>
          <w:sz w:val="24"/>
          <w:szCs w:val="27"/>
          <w:lang w:eastAsia="tr-TR"/>
        </w:rPr>
        <w:t xml:space="preserve">1918 sayılı Kanunun 6829 sayılı Kanunla değişik 25 inci maddesinin 2 </w:t>
      </w:r>
      <w:proofErr w:type="spellStart"/>
      <w:r w:rsidRPr="0047694D">
        <w:rPr>
          <w:rFonts w:ascii="Times New Roman" w:eastAsia="Times New Roman" w:hAnsi="Times New Roman" w:cs="Times New Roman"/>
          <w:color w:val="010000"/>
          <w:sz w:val="24"/>
          <w:szCs w:val="27"/>
          <w:lang w:eastAsia="tr-TR"/>
        </w:rPr>
        <w:t>nci</w:t>
      </w:r>
      <w:proofErr w:type="spellEnd"/>
      <w:r w:rsidRPr="0047694D">
        <w:rPr>
          <w:rFonts w:ascii="Times New Roman" w:eastAsia="Times New Roman" w:hAnsi="Times New Roman" w:cs="Times New Roman"/>
          <w:color w:val="010000"/>
          <w:sz w:val="24"/>
          <w:szCs w:val="27"/>
          <w:lang w:eastAsia="tr-TR"/>
        </w:rPr>
        <w:t xml:space="preserve"> fıkrasında para cezasının miktarı elli lirayı geçtiği takdirde, geçen miktar için her üç lira ve küsuru bir gün </w:t>
      </w:r>
      <w:proofErr w:type="spellStart"/>
      <w:r w:rsidRPr="0047694D">
        <w:rPr>
          <w:rFonts w:ascii="Times New Roman" w:eastAsia="Times New Roman" w:hAnsi="Times New Roman" w:cs="Times New Roman"/>
          <w:color w:val="010000"/>
          <w:sz w:val="24"/>
          <w:szCs w:val="27"/>
          <w:lang w:eastAsia="tr-TR"/>
        </w:rPr>
        <w:t>hesabiyle</w:t>
      </w:r>
      <w:proofErr w:type="spellEnd"/>
      <w:r w:rsidRPr="0047694D">
        <w:rPr>
          <w:rFonts w:ascii="Times New Roman" w:eastAsia="Times New Roman" w:hAnsi="Times New Roman" w:cs="Times New Roman"/>
          <w:color w:val="010000"/>
          <w:sz w:val="24"/>
          <w:szCs w:val="27"/>
          <w:lang w:eastAsia="tr-TR"/>
        </w:rPr>
        <w:t xml:space="preserve"> ayrıca hafif hapis </w:t>
      </w:r>
      <w:proofErr w:type="spellStart"/>
      <w:r w:rsidRPr="0047694D">
        <w:rPr>
          <w:rFonts w:ascii="Times New Roman" w:eastAsia="Times New Roman" w:hAnsi="Times New Roman" w:cs="Times New Roman"/>
          <w:color w:val="010000"/>
          <w:sz w:val="24"/>
          <w:szCs w:val="27"/>
          <w:lang w:eastAsia="tr-TR"/>
        </w:rPr>
        <w:t>cezasıda</w:t>
      </w:r>
      <w:proofErr w:type="spellEnd"/>
      <w:r w:rsidRPr="0047694D">
        <w:rPr>
          <w:rFonts w:ascii="Times New Roman" w:eastAsia="Times New Roman" w:hAnsi="Times New Roman" w:cs="Times New Roman"/>
          <w:color w:val="010000"/>
          <w:sz w:val="24"/>
          <w:szCs w:val="27"/>
          <w:lang w:eastAsia="tr-TR"/>
        </w:rPr>
        <w:t xml:space="preserve"> hükmolunacağı ve bu cezanın bir yılı </w:t>
      </w:r>
      <w:proofErr w:type="spellStart"/>
      <w:r w:rsidRPr="0047694D">
        <w:rPr>
          <w:rFonts w:ascii="Times New Roman" w:eastAsia="Times New Roman" w:hAnsi="Times New Roman" w:cs="Times New Roman"/>
          <w:color w:val="010000"/>
          <w:sz w:val="24"/>
          <w:szCs w:val="27"/>
          <w:lang w:eastAsia="tr-TR"/>
        </w:rPr>
        <w:t>geçemiyeceği</w:t>
      </w:r>
      <w:proofErr w:type="spellEnd"/>
      <w:r w:rsidRPr="0047694D">
        <w:rPr>
          <w:rFonts w:ascii="Times New Roman" w:eastAsia="Times New Roman" w:hAnsi="Times New Roman" w:cs="Times New Roman"/>
          <w:color w:val="010000"/>
          <w:sz w:val="24"/>
          <w:szCs w:val="27"/>
          <w:lang w:eastAsia="tr-TR"/>
        </w:rPr>
        <w:t xml:space="preserve"> yazılıdır.</w:t>
      </w:r>
    </w:p>
    <w:p w:rsidR="00B35B98" w:rsidRPr="0047694D" w:rsidRDefault="00B35B98" w:rsidP="00B35B9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47694D">
        <w:rPr>
          <w:rFonts w:ascii="Times New Roman" w:eastAsia="Times New Roman" w:hAnsi="Times New Roman" w:cs="Times New Roman"/>
          <w:color w:val="010000"/>
          <w:sz w:val="24"/>
          <w:szCs w:val="27"/>
          <w:lang w:eastAsia="tr-TR"/>
        </w:rPr>
        <w:t>Bir çok</w:t>
      </w:r>
      <w:proofErr w:type="gramEnd"/>
      <w:r w:rsidRPr="0047694D">
        <w:rPr>
          <w:rFonts w:ascii="Times New Roman" w:eastAsia="Times New Roman" w:hAnsi="Times New Roman" w:cs="Times New Roman"/>
          <w:color w:val="010000"/>
          <w:sz w:val="24"/>
          <w:szCs w:val="27"/>
          <w:lang w:eastAsia="tr-TR"/>
        </w:rPr>
        <w:t xml:space="preserve"> uygar ülkelerde para miktarı ölçü alınarak hapis cezası verilmediği Ceza Hukuku bilginlerince ileri sürülmektedir. Nitekim Cezaların İnfazı hakkındaki 647 sayılı Kanunda da bu görüş kabul edilmiş ve Türk Ceza Kanununun para cezasının üç lira bir gün </w:t>
      </w:r>
      <w:proofErr w:type="spellStart"/>
      <w:r w:rsidRPr="0047694D">
        <w:rPr>
          <w:rFonts w:ascii="Times New Roman" w:eastAsia="Times New Roman" w:hAnsi="Times New Roman" w:cs="Times New Roman"/>
          <w:color w:val="010000"/>
          <w:sz w:val="24"/>
          <w:szCs w:val="27"/>
          <w:lang w:eastAsia="tr-TR"/>
        </w:rPr>
        <w:t>hesabiyle</w:t>
      </w:r>
      <w:proofErr w:type="spellEnd"/>
      <w:r w:rsidRPr="0047694D">
        <w:rPr>
          <w:rFonts w:ascii="Times New Roman" w:eastAsia="Times New Roman" w:hAnsi="Times New Roman" w:cs="Times New Roman"/>
          <w:color w:val="010000"/>
          <w:sz w:val="24"/>
          <w:szCs w:val="27"/>
          <w:lang w:eastAsia="tr-TR"/>
        </w:rPr>
        <w:t xml:space="preserve"> hapis cezasına çevrilmesini öngören 19 uncu maddesi hükmü yürürlükten kaldırılmıştır. Böylece para cezası ölçü alınarak cezanın hürriyeti bağlayıcı cezaya çevrilmesinin insanî ve medenî bir ceza anlayışı olmadığı meydana çıkmaktadır.</w:t>
      </w:r>
    </w:p>
    <w:p w:rsidR="00B35B98" w:rsidRPr="0047694D" w:rsidRDefault="00B35B98" w:rsidP="00B35B9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7694D">
        <w:rPr>
          <w:rFonts w:ascii="Times New Roman" w:eastAsia="Times New Roman" w:hAnsi="Times New Roman" w:cs="Times New Roman"/>
          <w:color w:val="010000"/>
          <w:sz w:val="24"/>
          <w:szCs w:val="27"/>
          <w:lang w:eastAsia="tr-TR"/>
        </w:rPr>
        <w:t>Para cezasını ölçü alıp hürriyeti bağlayıcı ceza koymak bugünkü ceza adaletine uygun düşmez. Çünkü insan hürriyeti, maddî ölçülerden çok daha yüce ve kutsaldır. Öte yandan söz konusu fıkra cezanın şahsileştirilmesi ilkesine de aykırıdır.</w:t>
      </w:r>
    </w:p>
    <w:p w:rsidR="00B35B98" w:rsidRDefault="00B35B98" w:rsidP="00B35B9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7694D">
        <w:rPr>
          <w:rFonts w:ascii="Times New Roman" w:eastAsia="Times New Roman" w:hAnsi="Times New Roman" w:cs="Times New Roman"/>
          <w:color w:val="010000"/>
          <w:sz w:val="24"/>
          <w:szCs w:val="27"/>
          <w:lang w:eastAsia="tr-TR"/>
        </w:rPr>
        <w:t xml:space="preserve">Anayasa ileri görüşlü, </w:t>
      </w:r>
      <w:proofErr w:type="spellStart"/>
      <w:r w:rsidRPr="0047694D">
        <w:rPr>
          <w:rFonts w:ascii="Times New Roman" w:eastAsia="Times New Roman" w:hAnsi="Times New Roman" w:cs="Times New Roman"/>
          <w:color w:val="010000"/>
          <w:sz w:val="24"/>
          <w:szCs w:val="27"/>
          <w:lang w:eastAsia="tr-TR"/>
        </w:rPr>
        <w:t>ferdiyatçi</w:t>
      </w:r>
      <w:proofErr w:type="spellEnd"/>
      <w:r w:rsidRPr="0047694D">
        <w:rPr>
          <w:rFonts w:ascii="Times New Roman" w:eastAsia="Times New Roman" w:hAnsi="Times New Roman" w:cs="Times New Roman"/>
          <w:color w:val="010000"/>
          <w:sz w:val="24"/>
          <w:szCs w:val="27"/>
          <w:lang w:eastAsia="tr-TR"/>
        </w:rPr>
        <w:t>, sosyal uygarlık temeline dayanan, insan haklarının koruyucusu, üstün bir hukukî ve politik yapıdır. Mahkemenin uygulayacağı hüküm, bu nitelikteki Anayasa'mızın ruhuna ve 33 üncü maddesine aykırı bulunmaktadır.</w:t>
      </w:r>
      <w:r>
        <w:rPr>
          <w:rFonts w:ascii="Times New Roman" w:eastAsia="Times New Roman" w:hAnsi="Times New Roman" w:cs="Times New Roman"/>
          <w:color w:val="010000"/>
          <w:sz w:val="24"/>
          <w:szCs w:val="27"/>
          <w:lang w:eastAsia="tr-TR"/>
        </w:rPr>
        <w:t>"</w:t>
      </w:r>
    </w:p>
    <w:p w:rsidR="00A75DEA" w:rsidRPr="00B35B98" w:rsidRDefault="00A75DEA" w:rsidP="00B35B98">
      <w:pPr>
        <w:spacing w:before="240" w:after="100" w:afterAutospacing="1" w:line="240" w:lineRule="auto"/>
        <w:ind w:firstLine="709"/>
        <w:jc w:val="both"/>
        <w:rPr>
          <w:rFonts w:ascii="Times New Roman" w:hAnsi="Times New Roman" w:cs="Times New Roman"/>
          <w:sz w:val="24"/>
        </w:rPr>
      </w:pPr>
    </w:p>
    <w:sectPr w:rsidR="00A75DEA" w:rsidRPr="00B35B98" w:rsidSect="00B35B98">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796" w:rsidRDefault="008E3796" w:rsidP="00B35B98">
      <w:pPr>
        <w:spacing w:after="0" w:line="240" w:lineRule="auto"/>
      </w:pPr>
      <w:r>
        <w:separator/>
      </w:r>
    </w:p>
  </w:endnote>
  <w:endnote w:type="continuationSeparator" w:id="0">
    <w:p w:rsidR="008E3796" w:rsidRDefault="008E3796" w:rsidP="00B35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B98" w:rsidRDefault="00B35B98"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35B98" w:rsidRDefault="00B35B98" w:rsidP="00B35B9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B98" w:rsidRPr="00B35B98" w:rsidRDefault="00B35B98" w:rsidP="006C4614">
    <w:pPr>
      <w:pStyle w:val="Altbilgi"/>
      <w:framePr w:wrap="around" w:vAnchor="text" w:hAnchor="margin" w:xAlign="right" w:y="1"/>
      <w:rPr>
        <w:rStyle w:val="SayfaNumaras"/>
        <w:rFonts w:ascii="Times New Roman" w:hAnsi="Times New Roman" w:cs="Times New Roman"/>
      </w:rPr>
    </w:pPr>
    <w:r w:rsidRPr="00B35B98">
      <w:rPr>
        <w:rStyle w:val="SayfaNumaras"/>
        <w:rFonts w:ascii="Times New Roman" w:hAnsi="Times New Roman" w:cs="Times New Roman"/>
      </w:rPr>
      <w:fldChar w:fldCharType="begin"/>
    </w:r>
    <w:r w:rsidRPr="00B35B98">
      <w:rPr>
        <w:rStyle w:val="SayfaNumaras"/>
        <w:rFonts w:ascii="Times New Roman" w:hAnsi="Times New Roman" w:cs="Times New Roman"/>
      </w:rPr>
      <w:instrText xml:space="preserve">PAGE  </w:instrText>
    </w:r>
    <w:r w:rsidRPr="00B35B9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35B98">
      <w:rPr>
        <w:rStyle w:val="SayfaNumaras"/>
        <w:rFonts w:ascii="Times New Roman" w:hAnsi="Times New Roman" w:cs="Times New Roman"/>
      </w:rPr>
      <w:fldChar w:fldCharType="end"/>
    </w:r>
  </w:p>
  <w:p w:rsidR="00B35B98" w:rsidRPr="00B35B98" w:rsidRDefault="00B35B98" w:rsidP="00B35B9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796" w:rsidRDefault="008E3796" w:rsidP="00B35B98">
      <w:pPr>
        <w:spacing w:after="0" w:line="240" w:lineRule="auto"/>
      </w:pPr>
      <w:r>
        <w:separator/>
      </w:r>
    </w:p>
  </w:footnote>
  <w:footnote w:type="continuationSeparator" w:id="0">
    <w:p w:rsidR="008E3796" w:rsidRDefault="008E3796" w:rsidP="00B35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B98" w:rsidRDefault="00B35B98" w:rsidP="00B35B98">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Sayısı:1967/7</w:t>
    </w:r>
  </w:p>
  <w:p w:rsidR="00B35B98" w:rsidRDefault="00B35B98" w:rsidP="00B35B9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Sayısı:1967/19</w:t>
    </w:r>
  </w:p>
  <w:p w:rsidR="00B35B98" w:rsidRPr="00B35B98" w:rsidRDefault="00B35B98" w:rsidP="00B35B9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B98"/>
    <w:rsid w:val="008E3796"/>
    <w:rsid w:val="00A75DEA"/>
    <w:rsid w:val="00B35B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DC5AE-AE78-4280-856A-93C91CF5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B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35B9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35B98"/>
  </w:style>
  <w:style w:type="paragraph" w:styleId="Altbilgi">
    <w:name w:val="footer"/>
    <w:basedOn w:val="Normal"/>
    <w:link w:val="AltbilgiChar"/>
    <w:uiPriority w:val="99"/>
    <w:unhideWhenUsed/>
    <w:rsid w:val="00B35B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5B98"/>
  </w:style>
  <w:style w:type="character" w:styleId="SayfaNumaras">
    <w:name w:val="page number"/>
    <w:basedOn w:val="VarsaylanParagrafYazTipi"/>
    <w:uiPriority w:val="99"/>
    <w:semiHidden/>
    <w:unhideWhenUsed/>
    <w:rsid w:val="00B35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2020-06-20T14:36:00Z</dcterms:created>
  <dcterms:modified xsi:type="dcterms:W3CDTF">2020-06-20T14:37:00Z</dcterms:modified>
</cp:coreProperties>
</file>